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84BE9" w14:textId="77777777" w:rsidR="00B55574" w:rsidRPr="00B408B9" w:rsidRDefault="00B55574" w:rsidP="0082258A">
      <w:pPr>
        <w:widowControl w:val="0"/>
        <w:jc w:val="both"/>
        <w:rPr>
          <w:rFonts w:ascii="Cambria" w:hAnsi="Cambria"/>
          <w:sz w:val="22"/>
          <w:szCs w:val="22"/>
        </w:rPr>
      </w:pPr>
    </w:p>
    <w:p w14:paraId="6954F6D2" w14:textId="77777777" w:rsidR="00633A93" w:rsidRPr="00B408B9" w:rsidRDefault="00633A93" w:rsidP="0082258A">
      <w:pPr>
        <w:widowControl w:val="0"/>
        <w:jc w:val="both"/>
        <w:rPr>
          <w:rFonts w:ascii="Cambria" w:hAnsi="Cambria"/>
          <w:sz w:val="22"/>
          <w:szCs w:val="22"/>
        </w:rPr>
      </w:pPr>
    </w:p>
    <w:p w14:paraId="7B8DB392" w14:textId="77777777" w:rsidR="00633A93" w:rsidRPr="00B408B9" w:rsidRDefault="00B408B9" w:rsidP="0082258A">
      <w:pPr>
        <w:widowControl w:val="0"/>
        <w:jc w:val="both"/>
        <w:rPr>
          <w:rFonts w:ascii="Cambria" w:hAnsi="Cambria"/>
          <w:sz w:val="22"/>
          <w:szCs w:val="22"/>
        </w:rPr>
      </w:pPr>
      <w:r w:rsidRPr="00B408B9">
        <w:rPr>
          <w:rFonts w:ascii="Cambria" w:hAnsi="Cambria"/>
          <w:sz w:val="22"/>
          <w:szCs w:val="22"/>
        </w:rPr>
        <w:t>October __, 2018</w:t>
      </w:r>
    </w:p>
    <w:p w14:paraId="062EEDB7" w14:textId="77777777" w:rsidR="00EA00B2" w:rsidRPr="00B408B9" w:rsidRDefault="00EA00B2" w:rsidP="0082258A">
      <w:pPr>
        <w:rPr>
          <w:sz w:val="22"/>
          <w:szCs w:val="22"/>
        </w:rPr>
      </w:pPr>
    </w:p>
    <w:p w14:paraId="51623AC1" w14:textId="77777777" w:rsidR="00EA00B2" w:rsidRPr="00B408B9" w:rsidRDefault="00EA00B2" w:rsidP="0082258A">
      <w:pPr>
        <w:rPr>
          <w:sz w:val="22"/>
          <w:szCs w:val="22"/>
        </w:rPr>
      </w:pPr>
    </w:p>
    <w:p w14:paraId="4074DD92" w14:textId="77777777" w:rsidR="00EA00B2" w:rsidRPr="00B408B9" w:rsidRDefault="00EA00B2" w:rsidP="0082258A">
      <w:pPr>
        <w:rPr>
          <w:sz w:val="22"/>
          <w:szCs w:val="22"/>
        </w:rPr>
      </w:pPr>
    </w:p>
    <w:p w14:paraId="5E65139D" w14:textId="77777777" w:rsidR="00EA00B2" w:rsidRPr="00B408B9" w:rsidRDefault="00B27EC0" w:rsidP="0082258A">
      <w:pPr>
        <w:rPr>
          <w:sz w:val="22"/>
          <w:szCs w:val="22"/>
        </w:rPr>
      </w:pPr>
      <w:r w:rsidRPr="00B408B9">
        <w:rPr>
          <w:sz w:val="22"/>
          <w:szCs w:val="22"/>
        </w:rPr>
        <w:t>Joe</w:t>
      </w:r>
      <w:r w:rsidR="00D0070B" w:rsidRPr="00B408B9">
        <w:rPr>
          <w:sz w:val="22"/>
          <w:szCs w:val="22"/>
        </w:rPr>
        <w:t xml:space="preserve">l </w:t>
      </w:r>
      <w:r w:rsidR="00102CAE" w:rsidRPr="00B408B9">
        <w:rPr>
          <w:sz w:val="22"/>
          <w:szCs w:val="22"/>
        </w:rPr>
        <w:t xml:space="preserve">C. </w:t>
      </w:r>
      <w:r w:rsidR="00D0070B" w:rsidRPr="00B408B9">
        <w:rPr>
          <w:sz w:val="22"/>
          <w:szCs w:val="22"/>
        </w:rPr>
        <w:t>Baxley, Administrator</w:t>
      </w:r>
    </w:p>
    <w:p w14:paraId="66AE4540" w14:textId="77777777" w:rsidR="00BC4F91" w:rsidRPr="00B408B9" w:rsidRDefault="00BC4F91" w:rsidP="0082258A">
      <w:pPr>
        <w:rPr>
          <w:sz w:val="22"/>
          <w:szCs w:val="22"/>
        </w:rPr>
      </w:pPr>
      <w:r w:rsidRPr="00B408B9">
        <w:rPr>
          <w:sz w:val="22"/>
          <w:szCs w:val="22"/>
        </w:rPr>
        <w:t>U.S. Department of Agriculture</w:t>
      </w:r>
      <w:r w:rsidR="002D746B" w:rsidRPr="00B408B9">
        <w:rPr>
          <w:sz w:val="22"/>
          <w:szCs w:val="22"/>
        </w:rPr>
        <w:t>, Rural Housing Service</w:t>
      </w:r>
    </w:p>
    <w:p w14:paraId="46A39293" w14:textId="77777777" w:rsidR="00633A93" w:rsidRPr="00B408B9" w:rsidRDefault="00FF49B3" w:rsidP="0082258A">
      <w:pPr>
        <w:rPr>
          <w:sz w:val="22"/>
          <w:szCs w:val="22"/>
        </w:rPr>
      </w:pPr>
      <w:r w:rsidRPr="00B408B9">
        <w:rPr>
          <w:sz w:val="22"/>
          <w:szCs w:val="22"/>
        </w:rPr>
        <w:t>c</w:t>
      </w:r>
      <w:r w:rsidR="00EA00B2" w:rsidRPr="00B408B9">
        <w:rPr>
          <w:sz w:val="22"/>
          <w:szCs w:val="22"/>
        </w:rPr>
        <w:t>/</w:t>
      </w:r>
      <w:r w:rsidRPr="00B408B9">
        <w:rPr>
          <w:sz w:val="22"/>
          <w:szCs w:val="22"/>
        </w:rPr>
        <w:t>o</w:t>
      </w:r>
      <w:r w:rsidR="00EA00B2" w:rsidRPr="00B408B9">
        <w:rPr>
          <w:sz w:val="22"/>
          <w:szCs w:val="22"/>
        </w:rPr>
        <w:t xml:space="preserve"> </w:t>
      </w:r>
      <w:r w:rsidR="00633A93" w:rsidRPr="00B408B9">
        <w:rPr>
          <w:sz w:val="22"/>
          <w:szCs w:val="22"/>
        </w:rPr>
        <w:t>Branch Chief, Regulations and Paperwork Management Branch</w:t>
      </w:r>
    </w:p>
    <w:p w14:paraId="0C3AE194" w14:textId="77777777" w:rsidR="00633A93" w:rsidRPr="00B408B9" w:rsidRDefault="00633A93" w:rsidP="0082258A">
      <w:pPr>
        <w:rPr>
          <w:sz w:val="22"/>
          <w:szCs w:val="22"/>
        </w:rPr>
      </w:pPr>
      <w:r w:rsidRPr="00B408B9">
        <w:rPr>
          <w:sz w:val="22"/>
          <w:szCs w:val="22"/>
        </w:rPr>
        <w:t>STOP 0742</w:t>
      </w:r>
    </w:p>
    <w:p w14:paraId="49ECABE1" w14:textId="77777777" w:rsidR="00633A93" w:rsidRPr="00B408B9" w:rsidRDefault="00633A93" w:rsidP="0082258A">
      <w:pPr>
        <w:rPr>
          <w:sz w:val="22"/>
          <w:szCs w:val="22"/>
        </w:rPr>
      </w:pPr>
      <w:r w:rsidRPr="00B408B9">
        <w:rPr>
          <w:sz w:val="22"/>
          <w:szCs w:val="22"/>
        </w:rPr>
        <w:t>1400 Independence Avenue SW</w:t>
      </w:r>
    </w:p>
    <w:p w14:paraId="178AAAA9" w14:textId="77777777" w:rsidR="00633A93" w:rsidRPr="00B408B9" w:rsidRDefault="00633A93" w:rsidP="0082258A">
      <w:pPr>
        <w:rPr>
          <w:sz w:val="22"/>
          <w:szCs w:val="22"/>
        </w:rPr>
      </w:pPr>
      <w:r w:rsidRPr="00B408B9">
        <w:rPr>
          <w:sz w:val="22"/>
          <w:szCs w:val="22"/>
        </w:rPr>
        <w:t>Washington, DC 20250-0742</w:t>
      </w:r>
    </w:p>
    <w:p w14:paraId="3DC1D9A8" w14:textId="77777777" w:rsidR="00B868C8" w:rsidRPr="00B408B9" w:rsidRDefault="00B868C8" w:rsidP="0082258A">
      <w:pPr>
        <w:rPr>
          <w:sz w:val="22"/>
          <w:szCs w:val="22"/>
        </w:rPr>
      </w:pPr>
    </w:p>
    <w:p w14:paraId="50C7C7B7" w14:textId="77777777" w:rsidR="00B868C8" w:rsidRPr="00B408B9" w:rsidRDefault="00B868C8" w:rsidP="0082258A">
      <w:pPr>
        <w:rPr>
          <w:sz w:val="22"/>
          <w:szCs w:val="22"/>
        </w:rPr>
      </w:pPr>
      <w:r w:rsidRPr="00B408B9">
        <w:rPr>
          <w:sz w:val="22"/>
          <w:szCs w:val="22"/>
        </w:rPr>
        <w:t>RE</w:t>
      </w:r>
      <w:r w:rsidR="008B734C" w:rsidRPr="00B408B9">
        <w:rPr>
          <w:sz w:val="22"/>
          <w:szCs w:val="22"/>
        </w:rPr>
        <w:t>:</w:t>
      </w:r>
      <w:r w:rsidR="00D905E9" w:rsidRPr="00B408B9">
        <w:rPr>
          <w:sz w:val="22"/>
          <w:szCs w:val="22"/>
        </w:rPr>
        <w:t xml:space="preserve"> RIN </w:t>
      </w:r>
      <w:r w:rsidR="00F979DE" w:rsidRPr="00B408B9">
        <w:rPr>
          <w:sz w:val="22"/>
          <w:szCs w:val="22"/>
        </w:rPr>
        <w:t>0575-</w:t>
      </w:r>
      <w:r w:rsidR="00DA7E54" w:rsidRPr="00B408B9">
        <w:rPr>
          <w:sz w:val="22"/>
          <w:szCs w:val="22"/>
        </w:rPr>
        <w:t xml:space="preserve">AD13, Proposed Rule, Single Family Housing Direct and Guaranteed Loan </w:t>
      </w:r>
      <w:r w:rsidR="008F4C2A" w:rsidRPr="00B408B9">
        <w:rPr>
          <w:sz w:val="22"/>
          <w:szCs w:val="22"/>
        </w:rPr>
        <w:t xml:space="preserve">Programs. </w:t>
      </w:r>
    </w:p>
    <w:p w14:paraId="1B458E7A" w14:textId="22BF94C0" w:rsidR="00633A93" w:rsidRPr="00B408B9" w:rsidRDefault="00633A93" w:rsidP="00C00E99">
      <w:pPr>
        <w:widowControl w:val="0"/>
        <w:jc w:val="both"/>
        <w:rPr>
          <w:rFonts w:ascii="Cambria" w:hAnsi="Cambria"/>
          <w:sz w:val="22"/>
          <w:szCs w:val="22"/>
        </w:rPr>
      </w:pPr>
    </w:p>
    <w:p w14:paraId="56778D60" w14:textId="77777777" w:rsidR="00F83A28" w:rsidRPr="00B408B9" w:rsidRDefault="00F83A28" w:rsidP="0082258A">
      <w:pPr>
        <w:widowControl w:val="0"/>
        <w:ind w:right="684"/>
        <w:jc w:val="both"/>
        <w:rPr>
          <w:rFonts w:ascii="Cambria" w:hAnsi="Cambria"/>
          <w:sz w:val="22"/>
          <w:szCs w:val="22"/>
        </w:rPr>
      </w:pPr>
      <w:r w:rsidRPr="00B408B9">
        <w:rPr>
          <w:rFonts w:ascii="Cambria" w:hAnsi="Cambria"/>
          <w:sz w:val="22"/>
          <w:szCs w:val="22"/>
        </w:rPr>
        <w:tab/>
      </w:r>
    </w:p>
    <w:p w14:paraId="43777869" w14:textId="77777777" w:rsidR="00C171B1" w:rsidRPr="00B408B9" w:rsidRDefault="00C171B1" w:rsidP="0082258A">
      <w:pPr>
        <w:widowControl w:val="0"/>
        <w:ind w:right="684"/>
        <w:jc w:val="both"/>
        <w:rPr>
          <w:rFonts w:ascii="Cambria" w:hAnsi="Cambria"/>
          <w:sz w:val="22"/>
          <w:szCs w:val="22"/>
        </w:rPr>
      </w:pPr>
      <w:r w:rsidRPr="00B408B9">
        <w:rPr>
          <w:rFonts w:ascii="Cambria" w:hAnsi="Cambria"/>
          <w:sz w:val="22"/>
          <w:szCs w:val="22"/>
        </w:rPr>
        <w:t xml:space="preserve">Dear </w:t>
      </w:r>
      <w:r w:rsidR="008F4C2A" w:rsidRPr="00B408B9">
        <w:rPr>
          <w:rFonts w:ascii="Cambria" w:hAnsi="Cambria"/>
          <w:sz w:val="22"/>
          <w:szCs w:val="22"/>
        </w:rPr>
        <w:t>Administrator Baxley:</w:t>
      </w:r>
      <w:r w:rsidR="0082258A" w:rsidRPr="00B408B9">
        <w:rPr>
          <w:rFonts w:ascii="Cambria" w:hAnsi="Cambria"/>
          <w:sz w:val="22"/>
          <w:szCs w:val="22"/>
        </w:rPr>
        <w:t xml:space="preserve"> </w:t>
      </w:r>
    </w:p>
    <w:p w14:paraId="59533A7F" w14:textId="77777777" w:rsidR="008A4E0D" w:rsidRPr="00B408B9" w:rsidRDefault="008A4E0D" w:rsidP="0082258A">
      <w:pPr>
        <w:widowControl w:val="0"/>
        <w:ind w:right="684"/>
        <w:jc w:val="both"/>
        <w:rPr>
          <w:rFonts w:ascii="Cambria" w:hAnsi="Cambria"/>
          <w:sz w:val="22"/>
          <w:szCs w:val="22"/>
        </w:rPr>
      </w:pPr>
    </w:p>
    <w:p w14:paraId="68F7F89E" w14:textId="77777777" w:rsidR="001111A9" w:rsidRPr="00B408B9" w:rsidRDefault="00C171B1" w:rsidP="0082258A">
      <w:pPr>
        <w:rPr>
          <w:rFonts w:ascii="Cambria" w:hAnsi="Cambria"/>
          <w:sz w:val="22"/>
          <w:szCs w:val="22"/>
        </w:rPr>
      </w:pPr>
      <w:r w:rsidRPr="00B408B9">
        <w:rPr>
          <w:rFonts w:ascii="Cambria" w:hAnsi="Cambria"/>
          <w:sz w:val="22"/>
          <w:szCs w:val="22"/>
        </w:rPr>
        <w:t xml:space="preserve">The Housing Assistance Council (HAC) appreciates the opportunity to comment on the </w:t>
      </w:r>
      <w:r w:rsidR="008F4C2A" w:rsidRPr="00B408B9">
        <w:rPr>
          <w:rFonts w:ascii="Cambria" w:hAnsi="Cambria"/>
          <w:sz w:val="22"/>
          <w:szCs w:val="22"/>
        </w:rPr>
        <w:t xml:space="preserve">subject </w:t>
      </w:r>
      <w:r w:rsidRPr="00B408B9">
        <w:rPr>
          <w:rFonts w:ascii="Cambria" w:hAnsi="Cambria"/>
          <w:sz w:val="22"/>
          <w:szCs w:val="22"/>
        </w:rPr>
        <w:t>Proposed Rule by the Rural Housing Service (RHS), United States Department of Agriculture (USDA).</w:t>
      </w:r>
      <w:r w:rsidR="000C7F10" w:rsidRPr="00B408B9">
        <w:rPr>
          <w:rFonts w:ascii="Cambria" w:hAnsi="Cambria"/>
          <w:sz w:val="22"/>
          <w:szCs w:val="22"/>
        </w:rPr>
        <w:t xml:space="preserve"> </w:t>
      </w:r>
    </w:p>
    <w:p w14:paraId="0C09C77A" w14:textId="77777777" w:rsidR="006B667C" w:rsidRPr="00B408B9" w:rsidRDefault="006B667C" w:rsidP="0082258A">
      <w:pPr>
        <w:rPr>
          <w:rFonts w:ascii="Cambria" w:hAnsi="Cambria"/>
          <w:sz w:val="22"/>
          <w:szCs w:val="22"/>
        </w:rPr>
      </w:pPr>
    </w:p>
    <w:p w14:paraId="6E365362" w14:textId="0D7D13A6" w:rsidR="00BF677F" w:rsidRPr="00B408B9" w:rsidRDefault="006B667C" w:rsidP="0082258A">
      <w:pPr>
        <w:rPr>
          <w:rFonts w:ascii="Cambria" w:hAnsi="Cambria"/>
          <w:sz w:val="22"/>
          <w:szCs w:val="22"/>
        </w:rPr>
      </w:pPr>
      <w:r w:rsidRPr="00B408B9">
        <w:rPr>
          <w:rFonts w:ascii="Cambria" w:hAnsi="Cambria"/>
          <w:sz w:val="22"/>
          <w:szCs w:val="22"/>
        </w:rPr>
        <w:t xml:space="preserve">The proposed rule seeks comments on the Agency’s plan </w:t>
      </w:r>
      <w:r w:rsidR="00047E9B" w:rsidRPr="00B408B9">
        <w:rPr>
          <w:rFonts w:ascii="Cambria" w:hAnsi="Cambria"/>
          <w:sz w:val="22"/>
          <w:szCs w:val="22"/>
        </w:rPr>
        <w:t>to amend its regulations to implement a two-tier income limit structure</w:t>
      </w:r>
      <w:r w:rsidR="00CB6A7C" w:rsidRPr="00B408B9">
        <w:rPr>
          <w:rFonts w:ascii="Cambria" w:hAnsi="Cambria"/>
          <w:sz w:val="22"/>
          <w:szCs w:val="22"/>
        </w:rPr>
        <w:t xml:space="preserve"> and revise the methodology to determine </w:t>
      </w:r>
      <w:r w:rsidR="00AD0992" w:rsidRPr="00B408B9">
        <w:rPr>
          <w:rFonts w:ascii="Cambria" w:hAnsi="Cambria"/>
          <w:sz w:val="22"/>
          <w:szCs w:val="22"/>
        </w:rPr>
        <w:t>area loan limits for its Single Family Housing direct loan and grant programs</w:t>
      </w:r>
      <w:r w:rsidR="001D7B3D" w:rsidRPr="00B408B9">
        <w:rPr>
          <w:rFonts w:ascii="Cambria" w:hAnsi="Cambria"/>
          <w:sz w:val="22"/>
          <w:szCs w:val="22"/>
        </w:rPr>
        <w:t xml:space="preserve"> and make other changes.</w:t>
      </w:r>
      <w:r w:rsidR="000C7F10" w:rsidRPr="00B408B9">
        <w:rPr>
          <w:rFonts w:ascii="Cambria" w:hAnsi="Cambria"/>
          <w:sz w:val="22"/>
          <w:szCs w:val="22"/>
        </w:rPr>
        <w:t xml:space="preserve"> </w:t>
      </w:r>
      <w:r w:rsidR="00E84648" w:rsidRPr="00B408B9">
        <w:rPr>
          <w:rFonts w:ascii="Cambria" w:hAnsi="Cambria"/>
          <w:sz w:val="22"/>
          <w:szCs w:val="22"/>
        </w:rPr>
        <w:t xml:space="preserve">The </w:t>
      </w:r>
      <w:r w:rsidR="00A735BF" w:rsidRPr="00B408B9">
        <w:rPr>
          <w:rFonts w:ascii="Cambria" w:hAnsi="Cambria"/>
          <w:sz w:val="22"/>
          <w:szCs w:val="22"/>
        </w:rPr>
        <w:t xml:space="preserve">proposed </w:t>
      </w:r>
      <w:r w:rsidR="00E84648" w:rsidRPr="00B408B9">
        <w:rPr>
          <w:rFonts w:ascii="Cambria" w:hAnsi="Cambria"/>
          <w:sz w:val="22"/>
          <w:szCs w:val="22"/>
        </w:rPr>
        <w:t xml:space="preserve">change to the income limit structure </w:t>
      </w:r>
      <w:r w:rsidR="00427C53" w:rsidRPr="00B408B9">
        <w:rPr>
          <w:rFonts w:ascii="Cambria" w:hAnsi="Cambria"/>
          <w:sz w:val="22"/>
          <w:szCs w:val="22"/>
        </w:rPr>
        <w:t>is</w:t>
      </w:r>
      <w:r w:rsidR="00E84648" w:rsidRPr="00B408B9">
        <w:rPr>
          <w:rFonts w:ascii="Cambria" w:hAnsi="Cambria"/>
          <w:sz w:val="22"/>
          <w:szCs w:val="22"/>
        </w:rPr>
        <w:t xml:space="preserve"> intended </w:t>
      </w:r>
      <w:r w:rsidR="00285F9D" w:rsidRPr="00B408B9">
        <w:rPr>
          <w:rFonts w:ascii="Cambria" w:hAnsi="Cambria"/>
          <w:sz w:val="22"/>
          <w:szCs w:val="22"/>
        </w:rPr>
        <w:t xml:space="preserve">to minimize the impact of varying </w:t>
      </w:r>
      <w:r w:rsidR="00FF6187" w:rsidRPr="00B408B9">
        <w:rPr>
          <w:rFonts w:ascii="Cambria" w:hAnsi="Cambria"/>
          <w:sz w:val="22"/>
          <w:szCs w:val="22"/>
        </w:rPr>
        <w:t xml:space="preserve">minimum wages among states and </w:t>
      </w:r>
      <w:r w:rsidR="008D6668" w:rsidRPr="00B408B9">
        <w:rPr>
          <w:rFonts w:ascii="Cambria" w:hAnsi="Cambria"/>
          <w:sz w:val="22"/>
          <w:szCs w:val="22"/>
        </w:rPr>
        <w:t>territories</w:t>
      </w:r>
      <w:r w:rsidR="00FF6187" w:rsidRPr="00B408B9">
        <w:rPr>
          <w:rFonts w:ascii="Cambria" w:hAnsi="Cambria"/>
          <w:sz w:val="22"/>
          <w:szCs w:val="22"/>
        </w:rPr>
        <w:t xml:space="preserve"> and the observed disconnect</w:t>
      </w:r>
      <w:r w:rsidR="009E520E" w:rsidRPr="00B408B9">
        <w:rPr>
          <w:rFonts w:ascii="Cambria" w:hAnsi="Cambria"/>
          <w:sz w:val="22"/>
          <w:szCs w:val="22"/>
        </w:rPr>
        <w:t xml:space="preserve"> between minimum wages and the low median income in many areas.</w:t>
      </w:r>
      <w:r w:rsidR="000C7F10" w:rsidRPr="00B408B9">
        <w:rPr>
          <w:rFonts w:ascii="Cambria" w:hAnsi="Cambria"/>
          <w:sz w:val="22"/>
          <w:szCs w:val="22"/>
        </w:rPr>
        <w:t xml:space="preserve"> </w:t>
      </w:r>
      <w:r w:rsidR="00F40560" w:rsidRPr="00B408B9">
        <w:rPr>
          <w:rFonts w:ascii="Cambria" w:hAnsi="Cambria"/>
          <w:sz w:val="22"/>
          <w:szCs w:val="22"/>
        </w:rPr>
        <w:t>The propo</w:t>
      </w:r>
      <w:r w:rsidR="007F4628" w:rsidRPr="00B408B9">
        <w:rPr>
          <w:rFonts w:ascii="Cambria" w:hAnsi="Cambria"/>
          <w:sz w:val="22"/>
          <w:szCs w:val="22"/>
        </w:rPr>
        <w:t>sed change to the methodology is intended to streamline</w:t>
      </w:r>
      <w:r w:rsidR="003A4D8D" w:rsidRPr="00B408B9">
        <w:rPr>
          <w:rFonts w:ascii="Cambria" w:hAnsi="Cambria"/>
          <w:sz w:val="22"/>
          <w:szCs w:val="22"/>
        </w:rPr>
        <w:t xml:space="preserve"> the process</w:t>
      </w:r>
      <w:r w:rsidR="00A94F36" w:rsidRPr="00B408B9">
        <w:rPr>
          <w:rFonts w:ascii="Cambria" w:hAnsi="Cambria"/>
          <w:sz w:val="22"/>
          <w:szCs w:val="22"/>
        </w:rPr>
        <w:t xml:space="preserve"> and improve the reliability of the data set used to establish the area loan limits. </w:t>
      </w:r>
      <w:r w:rsidR="00A953DE">
        <w:rPr>
          <w:rFonts w:ascii="Cambria" w:hAnsi="Cambria"/>
          <w:sz w:val="22"/>
          <w:szCs w:val="22"/>
        </w:rPr>
        <w:t>HAC agrees that minimum wage earning households should not be disqualified from homeownership</w:t>
      </w:r>
      <w:r w:rsidR="00BA2859">
        <w:rPr>
          <w:rFonts w:ascii="Cambria" w:hAnsi="Cambria"/>
          <w:sz w:val="22"/>
          <w:szCs w:val="22"/>
        </w:rPr>
        <w:t xml:space="preserve"> based on income limits and that streamlining processes is a desirable goal. However,</w:t>
      </w:r>
      <w:r w:rsidR="00A953DE">
        <w:rPr>
          <w:rFonts w:ascii="Cambria" w:hAnsi="Cambria"/>
          <w:sz w:val="22"/>
          <w:szCs w:val="22"/>
        </w:rPr>
        <w:t xml:space="preserve"> we are concerned that the proposed solution</w:t>
      </w:r>
      <w:r w:rsidR="00BA2859">
        <w:rPr>
          <w:rFonts w:ascii="Cambria" w:hAnsi="Cambria"/>
          <w:sz w:val="22"/>
          <w:szCs w:val="22"/>
        </w:rPr>
        <w:t>s</w:t>
      </w:r>
      <w:r w:rsidR="00A953DE">
        <w:rPr>
          <w:rFonts w:ascii="Cambria" w:hAnsi="Cambria"/>
          <w:sz w:val="22"/>
          <w:szCs w:val="22"/>
        </w:rPr>
        <w:t xml:space="preserve"> </w:t>
      </w:r>
      <w:r w:rsidR="00A32D75">
        <w:rPr>
          <w:rFonts w:ascii="Cambria" w:hAnsi="Cambria"/>
          <w:sz w:val="22"/>
          <w:szCs w:val="22"/>
        </w:rPr>
        <w:t xml:space="preserve">will divert </w:t>
      </w:r>
      <w:r w:rsidR="00F617B7">
        <w:rPr>
          <w:rFonts w:ascii="Cambria" w:hAnsi="Cambria"/>
          <w:sz w:val="22"/>
          <w:szCs w:val="22"/>
        </w:rPr>
        <w:t xml:space="preserve">limited program </w:t>
      </w:r>
      <w:r w:rsidR="00A32D75">
        <w:rPr>
          <w:rFonts w:ascii="Cambria" w:hAnsi="Cambria"/>
          <w:sz w:val="22"/>
          <w:szCs w:val="22"/>
        </w:rPr>
        <w:t xml:space="preserve">resources </w:t>
      </w:r>
      <w:r w:rsidR="000567FF">
        <w:rPr>
          <w:rFonts w:ascii="Cambria" w:hAnsi="Cambria"/>
          <w:sz w:val="22"/>
          <w:szCs w:val="22"/>
        </w:rPr>
        <w:t xml:space="preserve">to applicants with </w:t>
      </w:r>
      <w:r w:rsidR="00511804">
        <w:rPr>
          <w:rFonts w:ascii="Cambria" w:hAnsi="Cambria"/>
          <w:sz w:val="22"/>
          <w:szCs w:val="22"/>
        </w:rPr>
        <w:t>much higher incomes</w:t>
      </w:r>
      <w:r w:rsidR="00A32D75">
        <w:rPr>
          <w:rFonts w:ascii="Cambria" w:hAnsi="Cambria"/>
          <w:sz w:val="22"/>
          <w:szCs w:val="22"/>
        </w:rPr>
        <w:t xml:space="preserve">.  </w:t>
      </w:r>
      <w:r w:rsidR="00114595">
        <w:rPr>
          <w:rFonts w:ascii="Cambria" w:hAnsi="Cambria"/>
          <w:sz w:val="22"/>
          <w:szCs w:val="22"/>
        </w:rPr>
        <w:t xml:space="preserve">HAC strongly urges the Agency to </w:t>
      </w:r>
      <w:r w:rsidR="00A24C7B">
        <w:rPr>
          <w:rFonts w:ascii="Cambria" w:hAnsi="Cambria"/>
          <w:sz w:val="22"/>
          <w:szCs w:val="22"/>
        </w:rPr>
        <w:t xml:space="preserve">take positive steps to </w:t>
      </w:r>
      <w:r w:rsidR="00DE5A29">
        <w:rPr>
          <w:rFonts w:ascii="Cambria" w:hAnsi="Cambria"/>
          <w:sz w:val="22"/>
          <w:szCs w:val="22"/>
        </w:rPr>
        <w:t xml:space="preserve">assure </w:t>
      </w:r>
      <w:r w:rsidR="00677D7C">
        <w:rPr>
          <w:rFonts w:ascii="Cambria" w:hAnsi="Cambria"/>
          <w:sz w:val="22"/>
          <w:szCs w:val="22"/>
        </w:rPr>
        <w:t xml:space="preserve">the program continues to serve </w:t>
      </w:r>
      <w:r w:rsidR="00EB24EC">
        <w:rPr>
          <w:rFonts w:ascii="Cambria" w:hAnsi="Cambria"/>
          <w:sz w:val="22"/>
          <w:szCs w:val="22"/>
        </w:rPr>
        <w:t>those who are most in need</w:t>
      </w:r>
      <w:r w:rsidR="00511804">
        <w:rPr>
          <w:rFonts w:ascii="Cambria" w:hAnsi="Cambria"/>
          <w:sz w:val="22"/>
          <w:szCs w:val="22"/>
        </w:rPr>
        <w:t xml:space="preserve">. </w:t>
      </w:r>
    </w:p>
    <w:p w14:paraId="3529BC0E" w14:textId="77777777" w:rsidR="00BF677F" w:rsidRPr="00B408B9" w:rsidRDefault="00BF677F" w:rsidP="0082258A">
      <w:pPr>
        <w:rPr>
          <w:rFonts w:ascii="Cambria" w:hAnsi="Cambria"/>
          <w:sz w:val="22"/>
          <w:szCs w:val="22"/>
        </w:rPr>
      </w:pPr>
    </w:p>
    <w:p w14:paraId="1D203CD4" w14:textId="77777777" w:rsidR="004301D4" w:rsidRPr="00B408B9" w:rsidRDefault="004301D4" w:rsidP="004301D4">
      <w:pPr>
        <w:rPr>
          <w:rFonts w:ascii="Cambria" w:hAnsi="Cambria"/>
          <w:sz w:val="22"/>
          <w:szCs w:val="22"/>
        </w:rPr>
      </w:pPr>
      <w:r w:rsidRPr="00B408B9">
        <w:rPr>
          <w:rFonts w:ascii="Cambria" w:hAnsi="Cambria"/>
          <w:sz w:val="22"/>
          <w:szCs w:val="22"/>
        </w:rPr>
        <w:t>The Housing Assistance Council is a national nonprofit organization that helps build homes and commu</w:t>
      </w:r>
      <w:r w:rsidR="00665E1B" w:rsidRPr="00B408B9">
        <w:rPr>
          <w:rFonts w:ascii="Cambria" w:hAnsi="Cambria"/>
          <w:sz w:val="22"/>
          <w:szCs w:val="22"/>
        </w:rPr>
        <w:t>nities across rural America</w:t>
      </w:r>
      <w:r w:rsidRPr="00B408B9">
        <w:rPr>
          <w:rFonts w:ascii="Cambria" w:hAnsi="Cambria"/>
          <w:sz w:val="22"/>
          <w:szCs w:val="22"/>
        </w:rPr>
        <w:t xml:space="preserve">. HAC has been </w:t>
      </w:r>
      <w:r w:rsidR="00CC2F9A" w:rsidRPr="00B408B9">
        <w:rPr>
          <w:rFonts w:ascii="Cambria" w:hAnsi="Cambria"/>
          <w:sz w:val="22"/>
          <w:szCs w:val="22"/>
        </w:rPr>
        <w:t>assisting</w:t>
      </w:r>
      <w:r w:rsidRPr="00B408B9">
        <w:rPr>
          <w:rFonts w:ascii="Cambria" w:hAnsi="Cambria"/>
          <w:sz w:val="22"/>
          <w:szCs w:val="22"/>
        </w:rPr>
        <w:t xml:space="preserve"> local </w:t>
      </w:r>
      <w:r w:rsidR="00665E1B" w:rsidRPr="00B408B9">
        <w:rPr>
          <w:rFonts w:ascii="Cambria" w:hAnsi="Cambria"/>
          <w:sz w:val="22"/>
          <w:szCs w:val="22"/>
        </w:rPr>
        <w:t>communities</w:t>
      </w:r>
      <w:r w:rsidRPr="00B408B9">
        <w:rPr>
          <w:rFonts w:ascii="Cambria" w:hAnsi="Cambria"/>
          <w:sz w:val="22"/>
          <w:szCs w:val="22"/>
        </w:rPr>
        <w:t xml:space="preserve"> build in rural </w:t>
      </w:r>
      <w:r w:rsidR="001272B2" w:rsidRPr="00B408B9">
        <w:rPr>
          <w:rFonts w:ascii="Cambria" w:hAnsi="Cambria"/>
          <w:sz w:val="22"/>
          <w:szCs w:val="22"/>
        </w:rPr>
        <w:t>areas</w:t>
      </w:r>
      <w:r w:rsidRPr="00B408B9">
        <w:rPr>
          <w:rFonts w:ascii="Cambria" w:hAnsi="Cambria"/>
          <w:sz w:val="22"/>
          <w:szCs w:val="22"/>
        </w:rPr>
        <w:t xml:space="preserve"> since 1971. </w:t>
      </w:r>
      <w:r w:rsidR="00E2470E" w:rsidRPr="00B408B9">
        <w:rPr>
          <w:rFonts w:ascii="Charter BT" w:hAnsi="Charter BT"/>
          <w:sz w:val="22"/>
          <w:szCs w:val="22"/>
        </w:rPr>
        <w:t>The Housing Assistance Council is deeply interested in and supportive of the rural housing programs administered by USDA Rural Development.</w:t>
      </w:r>
      <w:r w:rsidR="000C7F10" w:rsidRPr="00B408B9">
        <w:rPr>
          <w:rFonts w:ascii="Charter BT" w:hAnsi="Charter BT"/>
          <w:sz w:val="22"/>
          <w:szCs w:val="22"/>
        </w:rPr>
        <w:t xml:space="preserve"> </w:t>
      </w:r>
      <w:r w:rsidR="00E2470E" w:rsidRPr="00B408B9">
        <w:rPr>
          <w:rFonts w:ascii="Charter BT" w:hAnsi="Charter BT"/>
          <w:sz w:val="22"/>
          <w:szCs w:val="22"/>
        </w:rPr>
        <w:t>For years HAC has collected, analyzed, and disseminated data on USDA’s housing programs to better inform our rural housing partners and the pub</w:t>
      </w:r>
      <w:r w:rsidR="005422DF" w:rsidRPr="00B408B9">
        <w:rPr>
          <w:rFonts w:ascii="Charter BT" w:hAnsi="Charter BT"/>
          <w:sz w:val="22"/>
          <w:szCs w:val="22"/>
        </w:rPr>
        <w:t>l</w:t>
      </w:r>
      <w:r w:rsidR="00E2470E" w:rsidRPr="00B408B9">
        <w:rPr>
          <w:rFonts w:ascii="Charter BT" w:hAnsi="Charter BT"/>
          <w:sz w:val="22"/>
          <w:szCs w:val="22"/>
        </w:rPr>
        <w:t>ic at large.</w:t>
      </w:r>
      <w:r w:rsidR="000C7F10" w:rsidRPr="00B408B9">
        <w:rPr>
          <w:rFonts w:ascii="Charter BT" w:hAnsi="Charter BT"/>
          <w:sz w:val="22"/>
          <w:szCs w:val="22"/>
        </w:rPr>
        <w:t xml:space="preserve"> </w:t>
      </w:r>
      <w:r w:rsidRPr="00B408B9">
        <w:rPr>
          <w:rFonts w:ascii="Cambria" w:hAnsi="Cambria"/>
          <w:sz w:val="22"/>
          <w:szCs w:val="22"/>
        </w:rPr>
        <w:t xml:space="preserve">With </w:t>
      </w:r>
      <w:r w:rsidR="00F377D5" w:rsidRPr="00B408B9">
        <w:rPr>
          <w:rFonts w:ascii="Cambria" w:hAnsi="Cambria"/>
          <w:sz w:val="22"/>
          <w:szCs w:val="22"/>
        </w:rPr>
        <w:t>nearly 50</w:t>
      </w:r>
      <w:r w:rsidRPr="00B408B9">
        <w:rPr>
          <w:rFonts w:ascii="Cambria" w:hAnsi="Cambria"/>
          <w:sz w:val="22"/>
          <w:szCs w:val="22"/>
        </w:rPr>
        <w:t xml:space="preserve"> years of service to public, nonprofit, and private organizations throughout the rural United States, the Housing Assistance Council is uniquely positioned to provide comments and insights on</w:t>
      </w:r>
      <w:r w:rsidR="001272B2" w:rsidRPr="00B408B9">
        <w:rPr>
          <w:rFonts w:ascii="Cambria" w:hAnsi="Cambria"/>
          <w:sz w:val="22"/>
          <w:szCs w:val="22"/>
        </w:rPr>
        <w:t xml:space="preserve"> </w:t>
      </w:r>
      <w:r w:rsidRPr="00B408B9">
        <w:rPr>
          <w:rFonts w:ascii="Cambria" w:hAnsi="Cambria"/>
          <w:sz w:val="22"/>
          <w:szCs w:val="22"/>
        </w:rPr>
        <w:t>this Proposed Rule</w:t>
      </w:r>
      <w:r w:rsidR="00B22688" w:rsidRPr="00B408B9">
        <w:rPr>
          <w:rFonts w:ascii="Cambria" w:hAnsi="Cambria"/>
          <w:sz w:val="22"/>
          <w:szCs w:val="22"/>
        </w:rPr>
        <w:t xml:space="preserve"> to </w:t>
      </w:r>
      <w:r w:rsidR="00A51C6E" w:rsidRPr="00B408B9">
        <w:rPr>
          <w:rFonts w:ascii="Cambria" w:hAnsi="Cambria"/>
          <w:sz w:val="22"/>
          <w:szCs w:val="22"/>
        </w:rPr>
        <w:t xml:space="preserve">amend </w:t>
      </w:r>
      <w:r w:rsidR="00FB5077" w:rsidRPr="00B408B9">
        <w:rPr>
          <w:rFonts w:ascii="Cambria" w:hAnsi="Cambria"/>
          <w:sz w:val="22"/>
          <w:szCs w:val="22"/>
        </w:rPr>
        <w:t>the income limits and the area loan limits for the Single Family Housing direct loan and grant programs</w:t>
      </w:r>
      <w:r w:rsidRPr="00B408B9">
        <w:rPr>
          <w:rFonts w:ascii="Cambria" w:hAnsi="Cambria"/>
          <w:sz w:val="22"/>
          <w:szCs w:val="22"/>
        </w:rPr>
        <w:t xml:space="preserve">. </w:t>
      </w:r>
    </w:p>
    <w:p w14:paraId="78CA5F63" w14:textId="77777777" w:rsidR="0082258A" w:rsidRPr="00B408B9" w:rsidRDefault="0082258A" w:rsidP="0082258A">
      <w:pPr>
        <w:rPr>
          <w:rFonts w:ascii="Cambria" w:hAnsi="Cambria"/>
          <w:sz w:val="22"/>
          <w:szCs w:val="22"/>
        </w:rPr>
      </w:pPr>
    </w:p>
    <w:p w14:paraId="06BA5905" w14:textId="77777777" w:rsidR="00155163" w:rsidRPr="00B408B9" w:rsidRDefault="00155163">
      <w:pPr>
        <w:rPr>
          <w:rFonts w:ascii="Cambria" w:hAnsi="Cambria"/>
          <w:b/>
          <w:sz w:val="22"/>
          <w:szCs w:val="22"/>
        </w:rPr>
      </w:pPr>
      <w:r w:rsidRPr="00B408B9">
        <w:rPr>
          <w:rFonts w:ascii="Cambria" w:hAnsi="Cambria"/>
          <w:b/>
          <w:sz w:val="22"/>
          <w:szCs w:val="22"/>
        </w:rPr>
        <w:br w:type="page"/>
      </w:r>
    </w:p>
    <w:p w14:paraId="35F5D8A1" w14:textId="77777777" w:rsidR="00C171B1" w:rsidRPr="00B408B9" w:rsidRDefault="001B5BE8" w:rsidP="0082258A">
      <w:pPr>
        <w:rPr>
          <w:rFonts w:ascii="Cambria" w:hAnsi="Cambria"/>
          <w:b/>
          <w:sz w:val="22"/>
          <w:szCs w:val="22"/>
        </w:rPr>
      </w:pPr>
      <w:r w:rsidRPr="00B408B9">
        <w:rPr>
          <w:rFonts w:ascii="Cambria" w:hAnsi="Cambria"/>
          <w:b/>
          <w:sz w:val="22"/>
          <w:szCs w:val="22"/>
        </w:rPr>
        <w:lastRenderedPageBreak/>
        <w:t xml:space="preserve">Proposed </w:t>
      </w:r>
      <w:r w:rsidR="00C171B1" w:rsidRPr="00B408B9">
        <w:rPr>
          <w:rFonts w:ascii="Cambria" w:hAnsi="Cambria"/>
          <w:b/>
          <w:sz w:val="22"/>
          <w:szCs w:val="22"/>
        </w:rPr>
        <w:t xml:space="preserve">Two Tier Income Limit </w:t>
      </w:r>
    </w:p>
    <w:p w14:paraId="33845ABA" w14:textId="77777777" w:rsidR="0082258A" w:rsidRPr="00B408B9" w:rsidRDefault="0082258A" w:rsidP="0082258A">
      <w:pPr>
        <w:rPr>
          <w:rFonts w:ascii="Cambria" w:hAnsi="Cambria"/>
          <w:sz w:val="22"/>
          <w:szCs w:val="22"/>
        </w:rPr>
      </w:pPr>
    </w:p>
    <w:p w14:paraId="77995AEC" w14:textId="435CABC6" w:rsidR="00C171B1" w:rsidRPr="00B408B9" w:rsidRDefault="00C171B1" w:rsidP="0082258A">
      <w:pPr>
        <w:rPr>
          <w:rFonts w:ascii="Cambria" w:hAnsi="Cambria"/>
          <w:sz w:val="22"/>
          <w:szCs w:val="22"/>
        </w:rPr>
      </w:pPr>
      <w:r w:rsidRPr="00B408B9">
        <w:rPr>
          <w:rFonts w:ascii="Cambria" w:hAnsi="Cambria"/>
          <w:sz w:val="22"/>
          <w:szCs w:val="22"/>
        </w:rPr>
        <w:t>USDA proposes to revise the definition of very low-, low- and moderate-income to allow for a two-tier income limit structure for the single family direct loan and grant programs.</w:t>
      </w:r>
      <w:r w:rsidR="000C7F10" w:rsidRPr="00B408B9">
        <w:rPr>
          <w:rFonts w:ascii="Cambria" w:hAnsi="Cambria"/>
          <w:sz w:val="22"/>
          <w:szCs w:val="22"/>
        </w:rPr>
        <w:t xml:space="preserve"> </w:t>
      </w:r>
      <w:r w:rsidRPr="00B408B9">
        <w:rPr>
          <w:rFonts w:ascii="Cambria" w:hAnsi="Cambria"/>
          <w:sz w:val="22"/>
          <w:szCs w:val="22"/>
        </w:rPr>
        <w:t>The Agency</w:t>
      </w:r>
      <w:r w:rsidR="00A15C0D" w:rsidRPr="00B408B9">
        <w:rPr>
          <w:rFonts w:ascii="Cambria" w:hAnsi="Cambria"/>
          <w:sz w:val="22"/>
          <w:szCs w:val="22"/>
        </w:rPr>
        <w:t xml:space="preserve">’s </w:t>
      </w:r>
      <w:r w:rsidR="00274E29" w:rsidRPr="00B408B9">
        <w:rPr>
          <w:rFonts w:ascii="Cambria" w:hAnsi="Cambria"/>
          <w:sz w:val="22"/>
          <w:szCs w:val="22"/>
        </w:rPr>
        <w:t>primary rational</w:t>
      </w:r>
      <w:r w:rsidR="005422DF" w:rsidRPr="00B408B9">
        <w:rPr>
          <w:rFonts w:ascii="Cambria" w:hAnsi="Cambria"/>
          <w:sz w:val="22"/>
          <w:szCs w:val="22"/>
        </w:rPr>
        <w:t>e</w:t>
      </w:r>
      <w:r w:rsidR="00274E29" w:rsidRPr="00B408B9">
        <w:rPr>
          <w:rFonts w:ascii="Cambria" w:hAnsi="Cambria"/>
          <w:sz w:val="22"/>
          <w:szCs w:val="22"/>
        </w:rPr>
        <w:t xml:space="preserve"> for modification is that</w:t>
      </w:r>
      <w:r w:rsidRPr="00B408B9">
        <w:rPr>
          <w:rFonts w:ascii="Cambria" w:hAnsi="Cambria"/>
          <w:sz w:val="22"/>
          <w:szCs w:val="22"/>
        </w:rPr>
        <w:t xml:space="preserve"> under current rules, the income of a two-person household earning minimum wage from two full time jobs may be considered too high to qualify for a direct loan in “39 to 93 percent of the counties in 16 states and territories.” State minimum wages run from $7.25 per hour to $11.50 </w:t>
      </w:r>
      <w:r w:rsidR="003359F0">
        <w:rPr>
          <w:rFonts w:ascii="Cambria" w:hAnsi="Cambria"/>
          <w:sz w:val="22"/>
          <w:szCs w:val="22"/>
        </w:rPr>
        <w:t xml:space="preserve">across </w:t>
      </w:r>
      <w:r w:rsidR="008E0A67">
        <w:rPr>
          <w:rFonts w:ascii="Cambria" w:hAnsi="Cambria"/>
          <w:sz w:val="22"/>
          <w:szCs w:val="22"/>
        </w:rPr>
        <w:t>all 50</w:t>
      </w:r>
      <w:r w:rsidRPr="00B408B9">
        <w:rPr>
          <w:rFonts w:ascii="Cambria" w:hAnsi="Cambria"/>
          <w:sz w:val="22"/>
          <w:szCs w:val="22"/>
        </w:rPr>
        <w:t xml:space="preserve"> states ($6.55 in Puerto Rico.)</w:t>
      </w:r>
      <w:r w:rsidRPr="00B408B9">
        <w:rPr>
          <w:rStyle w:val="FootnoteReference"/>
          <w:rFonts w:ascii="Cambria" w:hAnsi="Cambria"/>
          <w:sz w:val="22"/>
          <w:szCs w:val="22"/>
        </w:rPr>
        <w:t xml:space="preserve"> </w:t>
      </w:r>
      <w:r w:rsidRPr="00B408B9">
        <w:rPr>
          <w:rStyle w:val="FootnoteReference"/>
          <w:rFonts w:ascii="Cambria" w:hAnsi="Cambria"/>
          <w:sz w:val="22"/>
          <w:szCs w:val="22"/>
        </w:rPr>
        <w:footnoteReference w:id="2"/>
      </w:r>
      <w:r w:rsidR="000C7F10" w:rsidRPr="00B408B9">
        <w:rPr>
          <w:rFonts w:ascii="Cambria" w:hAnsi="Cambria"/>
          <w:sz w:val="22"/>
          <w:szCs w:val="22"/>
        </w:rPr>
        <w:t xml:space="preserve"> </w:t>
      </w:r>
      <w:r w:rsidRPr="00B408B9">
        <w:rPr>
          <w:rFonts w:ascii="Cambria" w:hAnsi="Cambria"/>
          <w:sz w:val="22"/>
          <w:szCs w:val="22"/>
        </w:rPr>
        <w:t>Two-person households, both employed full time at minimum wage, could have incomes ranging from $30,160 to $47,840.</w:t>
      </w:r>
      <w:r w:rsidR="000C7F10" w:rsidRPr="00B408B9">
        <w:rPr>
          <w:rFonts w:ascii="Cambria" w:hAnsi="Cambria"/>
          <w:sz w:val="22"/>
          <w:szCs w:val="22"/>
        </w:rPr>
        <w:t xml:space="preserve"> </w:t>
      </w:r>
      <w:r w:rsidRPr="00B408B9">
        <w:rPr>
          <w:rFonts w:ascii="Cambria" w:hAnsi="Cambria"/>
          <w:sz w:val="22"/>
          <w:szCs w:val="22"/>
        </w:rPr>
        <w:t xml:space="preserve">Under a pilot program, the Agency tested the two-tier income limit structure in 23 states. </w:t>
      </w:r>
    </w:p>
    <w:p w14:paraId="51420944" w14:textId="77777777" w:rsidR="0082258A" w:rsidRPr="00B408B9" w:rsidRDefault="0082258A" w:rsidP="0082258A">
      <w:pPr>
        <w:rPr>
          <w:rStyle w:val="fontstyle01"/>
          <w:rFonts w:ascii="Cambria" w:hAnsi="Cambria"/>
          <w:sz w:val="22"/>
          <w:szCs w:val="22"/>
        </w:rPr>
      </w:pPr>
    </w:p>
    <w:p w14:paraId="6D6A6784" w14:textId="3EE3BDD0" w:rsidR="00C171B1" w:rsidRDefault="00C171B1" w:rsidP="0082258A">
      <w:pPr>
        <w:rPr>
          <w:rFonts w:ascii="Cambria" w:hAnsi="Cambria"/>
          <w:sz w:val="22"/>
          <w:szCs w:val="22"/>
        </w:rPr>
      </w:pPr>
      <w:r w:rsidRPr="00B408B9">
        <w:rPr>
          <w:rStyle w:val="fontstyle01"/>
          <w:rFonts w:ascii="Cambria" w:hAnsi="Cambria"/>
          <w:sz w:val="22"/>
          <w:szCs w:val="22"/>
        </w:rPr>
        <w:t>For comparison purposes, HUD</w:t>
      </w:r>
      <w:r w:rsidR="00ED20C7" w:rsidRPr="00B408B9">
        <w:rPr>
          <w:rStyle w:val="fontstyle01"/>
          <w:rFonts w:ascii="Cambria" w:hAnsi="Cambria"/>
          <w:sz w:val="22"/>
          <w:szCs w:val="22"/>
        </w:rPr>
        <w:t>’s</w:t>
      </w:r>
      <w:r w:rsidRPr="00B408B9">
        <w:rPr>
          <w:rStyle w:val="fontstyle01"/>
          <w:rFonts w:ascii="Cambria" w:hAnsi="Cambria"/>
          <w:sz w:val="22"/>
          <w:szCs w:val="22"/>
        </w:rPr>
        <w:t xml:space="preserve"> </w:t>
      </w:r>
      <w:r w:rsidR="001C676B">
        <w:rPr>
          <w:rStyle w:val="fontstyle01"/>
          <w:rFonts w:ascii="Cambria" w:hAnsi="Cambria"/>
          <w:sz w:val="22"/>
          <w:szCs w:val="22"/>
        </w:rPr>
        <w:t>low-</w:t>
      </w:r>
      <w:r w:rsidRPr="00B408B9">
        <w:rPr>
          <w:rStyle w:val="fontstyle01"/>
          <w:rFonts w:ascii="Cambria" w:hAnsi="Cambria"/>
          <w:sz w:val="22"/>
          <w:szCs w:val="22"/>
        </w:rPr>
        <w:t>income limit</w:t>
      </w:r>
      <w:r w:rsidR="00ED43AD" w:rsidRPr="00B408B9">
        <w:rPr>
          <w:rStyle w:val="fontstyle01"/>
          <w:rFonts w:ascii="Cambria" w:hAnsi="Cambria"/>
          <w:sz w:val="22"/>
          <w:szCs w:val="22"/>
        </w:rPr>
        <w:t>s for a</w:t>
      </w:r>
      <w:r w:rsidRPr="00B408B9">
        <w:rPr>
          <w:rStyle w:val="fontstyle01"/>
          <w:rFonts w:ascii="Cambria" w:hAnsi="Cambria"/>
          <w:sz w:val="22"/>
          <w:szCs w:val="22"/>
        </w:rPr>
        <w:t xml:space="preserve"> two-person household are 80 percent of the four-person household limits.</w:t>
      </w:r>
      <w:r w:rsidRPr="00B408B9">
        <w:rPr>
          <w:rStyle w:val="FootnoteReference"/>
          <w:rFonts w:ascii="Cambria" w:hAnsi="Cambria"/>
          <w:color w:val="000000"/>
          <w:sz w:val="22"/>
          <w:szCs w:val="22"/>
        </w:rPr>
        <w:footnoteReference w:id="3"/>
      </w:r>
      <w:r w:rsidR="000C7F10" w:rsidRPr="00B408B9">
        <w:rPr>
          <w:rStyle w:val="fontstyle01"/>
          <w:rFonts w:ascii="Cambria" w:hAnsi="Cambria"/>
          <w:sz w:val="22"/>
          <w:szCs w:val="22"/>
        </w:rPr>
        <w:t xml:space="preserve"> </w:t>
      </w:r>
      <w:r w:rsidRPr="00B408B9">
        <w:rPr>
          <w:rStyle w:val="fontstyle01"/>
          <w:rFonts w:ascii="Cambria" w:hAnsi="Cambria"/>
          <w:sz w:val="22"/>
          <w:szCs w:val="22"/>
        </w:rPr>
        <w:t>T</w:t>
      </w:r>
      <w:r w:rsidRPr="00B408B9">
        <w:rPr>
          <w:rFonts w:ascii="Cambria" w:hAnsi="Cambria"/>
          <w:sz w:val="22"/>
          <w:szCs w:val="22"/>
        </w:rPr>
        <w:t>he</w:t>
      </w:r>
      <w:r w:rsidR="00ED20C7" w:rsidRPr="00B408B9">
        <w:rPr>
          <w:rFonts w:ascii="Cambria" w:hAnsi="Cambria"/>
          <w:sz w:val="22"/>
          <w:szCs w:val="22"/>
        </w:rPr>
        <w:t xml:space="preserve"> propo</w:t>
      </w:r>
      <w:r w:rsidR="00E45E76" w:rsidRPr="00B408B9">
        <w:rPr>
          <w:rFonts w:ascii="Cambria" w:hAnsi="Cambria"/>
          <w:sz w:val="22"/>
          <w:szCs w:val="22"/>
        </w:rPr>
        <w:t>sed</w:t>
      </w:r>
      <w:r w:rsidRPr="00B408B9">
        <w:rPr>
          <w:rFonts w:ascii="Cambria" w:hAnsi="Cambria"/>
          <w:sz w:val="22"/>
          <w:szCs w:val="22"/>
        </w:rPr>
        <w:t xml:space="preserve"> two-tier income limit raises the median household income limit for two persons from $42,800 to $53,500 based on FY 2018 income limits.</w:t>
      </w:r>
      <w:r w:rsidR="000C7F10" w:rsidRPr="00B408B9">
        <w:rPr>
          <w:rFonts w:ascii="Cambria" w:hAnsi="Cambria"/>
          <w:sz w:val="22"/>
          <w:szCs w:val="22"/>
        </w:rPr>
        <w:t xml:space="preserve"> </w:t>
      </w:r>
      <w:r w:rsidRPr="00B408B9">
        <w:rPr>
          <w:rFonts w:ascii="Cambria" w:hAnsi="Cambria"/>
          <w:sz w:val="22"/>
          <w:szCs w:val="22"/>
        </w:rPr>
        <w:t>Single person households also benefit from this change. Single person household income limits are 70 percent of the four-person limits,</w:t>
      </w:r>
      <w:r w:rsidR="005E3FCC" w:rsidRPr="00B408B9">
        <w:rPr>
          <w:rFonts w:ascii="Cambria" w:hAnsi="Cambria"/>
          <w:sz w:val="22"/>
          <w:szCs w:val="22"/>
        </w:rPr>
        <w:t xml:space="preserve"> and</w:t>
      </w:r>
      <w:r w:rsidRPr="00B408B9">
        <w:rPr>
          <w:rFonts w:ascii="Cambria" w:hAnsi="Cambria"/>
          <w:sz w:val="22"/>
          <w:szCs w:val="22"/>
        </w:rPr>
        <w:t xml:space="preserve"> the</w:t>
      </w:r>
      <w:r w:rsidR="005E3FCC" w:rsidRPr="00B408B9">
        <w:rPr>
          <w:rFonts w:ascii="Cambria" w:hAnsi="Cambria"/>
          <w:sz w:val="22"/>
          <w:szCs w:val="22"/>
        </w:rPr>
        <w:t xml:space="preserve"> proposed</w:t>
      </w:r>
      <w:r w:rsidRPr="00B408B9">
        <w:rPr>
          <w:rFonts w:ascii="Cambria" w:hAnsi="Cambria"/>
          <w:sz w:val="22"/>
          <w:szCs w:val="22"/>
        </w:rPr>
        <w:t xml:space="preserve"> median single person household limit </w:t>
      </w:r>
      <w:r w:rsidR="00850FEB" w:rsidRPr="00B408B9">
        <w:rPr>
          <w:rFonts w:ascii="Cambria" w:hAnsi="Cambria"/>
          <w:sz w:val="22"/>
          <w:szCs w:val="22"/>
        </w:rPr>
        <w:t>increases</w:t>
      </w:r>
      <w:r w:rsidRPr="00B408B9">
        <w:rPr>
          <w:rFonts w:ascii="Cambria" w:hAnsi="Cambria"/>
          <w:sz w:val="22"/>
          <w:szCs w:val="22"/>
        </w:rPr>
        <w:t xml:space="preserve"> from $37,450 to $53,500.</w:t>
      </w:r>
      <w:r w:rsidR="000C7F10" w:rsidRPr="00B408B9">
        <w:rPr>
          <w:rFonts w:ascii="Cambria" w:hAnsi="Cambria"/>
          <w:sz w:val="22"/>
          <w:szCs w:val="22"/>
        </w:rPr>
        <w:t xml:space="preserve"> </w:t>
      </w:r>
      <w:r w:rsidRPr="00B408B9">
        <w:rPr>
          <w:rFonts w:ascii="Cambria" w:hAnsi="Cambria"/>
          <w:sz w:val="22"/>
          <w:szCs w:val="22"/>
        </w:rPr>
        <w:t xml:space="preserve">This results in a significant expansion of income eligible households. </w:t>
      </w:r>
      <w:r w:rsidR="000D3E56" w:rsidRPr="00B408B9">
        <w:rPr>
          <w:rFonts w:ascii="Cambria" w:hAnsi="Cambria"/>
          <w:sz w:val="22"/>
          <w:szCs w:val="22"/>
        </w:rPr>
        <w:t xml:space="preserve">To address </w:t>
      </w:r>
      <w:r w:rsidR="00B27051" w:rsidRPr="00B408B9">
        <w:rPr>
          <w:rFonts w:ascii="Cambria" w:hAnsi="Cambria"/>
          <w:sz w:val="22"/>
          <w:szCs w:val="22"/>
        </w:rPr>
        <w:t>the issue of a two</w:t>
      </w:r>
      <w:r w:rsidR="009B758D">
        <w:rPr>
          <w:rFonts w:ascii="Cambria" w:hAnsi="Cambria"/>
          <w:sz w:val="22"/>
          <w:szCs w:val="22"/>
        </w:rPr>
        <w:t>-</w:t>
      </w:r>
      <w:r w:rsidR="00B27051" w:rsidRPr="00B408B9">
        <w:rPr>
          <w:rFonts w:ascii="Cambria" w:hAnsi="Cambria"/>
          <w:sz w:val="22"/>
          <w:szCs w:val="22"/>
        </w:rPr>
        <w:t>person household where both members</w:t>
      </w:r>
      <w:r w:rsidR="00C4194D" w:rsidRPr="00B408B9">
        <w:rPr>
          <w:rFonts w:ascii="Cambria" w:hAnsi="Cambria"/>
          <w:sz w:val="22"/>
          <w:szCs w:val="22"/>
        </w:rPr>
        <w:t xml:space="preserve"> earn minimum wages in some counties in 16 states, the Agency proposes to make</w:t>
      </w:r>
      <w:r w:rsidR="005D417F" w:rsidRPr="00B408B9">
        <w:rPr>
          <w:rFonts w:ascii="Cambria" w:hAnsi="Cambria"/>
          <w:sz w:val="22"/>
          <w:szCs w:val="22"/>
        </w:rPr>
        <w:t xml:space="preserve"> a wholesale change that dramatically expands income eligibility for </w:t>
      </w:r>
      <w:r w:rsidR="00155163" w:rsidRPr="00B408B9">
        <w:rPr>
          <w:rFonts w:ascii="Cambria" w:hAnsi="Cambria"/>
          <w:sz w:val="22"/>
          <w:szCs w:val="22"/>
        </w:rPr>
        <w:t>all</w:t>
      </w:r>
      <w:r w:rsidR="004A6C1A" w:rsidRPr="00B408B9">
        <w:rPr>
          <w:rFonts w:ascii="Cambria" w:hAnsi="Cambria"/>
          <w:sz w:val="22"/>
          <w:szCs w:val="22"/>
        </w:rPr>
        <w:t xml:space="preserve"> </w:t>
      </w:r>
      <w:r w:rsidR="005D417F" w:rsidRPr="00B408B9">
        <w:rPr>
          <w:rFonts w:ascii="Cambria" w:hAnsi="Cambria"/>
          <w:sz w:val="22"/>
          <w:szCs w:val="22"/>
        </w:rPr>
        <w:t>the</w:t>
      </w:r>
      <w:r w:rsidR="00940F58" w:rsidRPr="00B408B9">
        <w:rPr>
          <w:rFonts w:ascii="Cambria" w:hAnsi="Cambria"/>
          <w:sz w:val="22"/>
          <w:szCs w:val="22"/>
        </w:rPr>
        <w:t xml:space="preserve"> Single Family Housing direct loan and grant</w:t>
      </w:r>
      <w:r w:rsidR="005D417F" w:rsidRPr="00B408B9">
        <w:rPr>
          <w:rFonts w:ascii="Cambria" w:hAnsi="Cambria"/>
          <w:sz w:val="22"/>
          <w:szCs w:val="22"/>
        </w:rPr>
        <w:t xml:space="preserve"> program</w:t>
      </w:r>
      <w:r w:rsidR="00940F58" w:rsidRPr="00B408B9">
        <w:rPr>
          <w:rFonts w:ascii="Cambria" w:hAnsi="Cambria"/>
          <w:sz w:val="22"/>
          <w:szCs w:val="22"/>
        </w:rPr>
        <w:t>s</w:t>
      </w:r>
      <w:r w:rsidR="005D417F" w:rsidRPr="00B408B9">
        <w:rPr>
          <w:rFonts w:ascii="Cambria" w:hAnsi="Cambria"/>
          <w:sz w:val="22"/>
          <w:szCs w:val="22"/>
        </w:rPr>
        <w:t>.</w:t>
      </w:r>
      <w:r w:rsidR="000C7F10" w:rsidRPr="00B408B9">
        <w:rPr>
          <w:rFonts w:ascii="Cambria" w:hAnsi="Cambria"/>
          <w:sz w:val="22"/>
          <w:szCs w:val="22"/>
        </w:rPr>
        <w:t xml:space="preserve"> </w:t>
      </w:r>
      <w:r w:rsidR="0001553B" w:rsidRPr="00B408B9">
        <w:rPr>
          <w:rFonts w:ascii="Cambria" w:hAnsi="Cambria"/>
          <w:sz w:val="22"/>
          <w:szCs w:val="22"/>
        </w:rPr>
        <w:t xml:space="preserve">Not only are the income limits expanded </w:t>
      </w:r>
      <w:r w:rsidR="00C313A5" w:rsidRPr="00B408B9">
        <w:rPr>
          <w:rFonts w:ascii="Cambria" w:hAnsi="Cambria"/>
          <w:sz w:val="22"/>
          <w:szCs w:val="22"/>
        </w:rPr>
        <w:t>to address</w:t>
      </w:r>
      <w:r w:rsidR="00EA77A3" w:rsidRPr="00B408B9">
        <w:rPr>
          <w:rFonts w:ascii="Cambria" w:hAnsi="Cambria"/>
          <w:sz w:val="22"/>
          <w:szCs w:val="22"/>
        </w:rPr>
        <w:t xml:space="preserve"> minimum wage earners but the eligibility for Section 504 loans and grants</w:t>
      </w:r>
      <w:r w:rsidR="005435DE" w:rsidRPr="00B408B9">
        <w:rPr>
          <w:rFonts w:ascii="Cambria" w:hAnsi="Cambria"/>
          <w:sz w:val="22"/>
          <w:szCs w:val="22"/>
        </w:rPr>
        <w:t xml:space="preserve"> is also expanded. </w:t>
      </w:r>
    </w:p>
    <w:p w14:paraId="2AE370BB" w14:textId="2171DA83" w:rsidR="00747E39" w:rsidRDefault="00747E39" w:rsidP="0082258A">
      <w:pPr>
        <w:rPr>
          <w:rFonts w:ascii="Cambria" w:hAnsi="Cambria"/>
          <w:sz w:val="22"/>
          <w:szCs w:val="22"/>
        </w:rPr>
      </w:pPr>
    </w:p>
    <w:p w14:paraId="27D88532" w14:textId="417B2E94" w:rsidR="00747E39" w:rsidRPr="00B408B9" w:rsidRDefault="00747E39" w:rsidP="0082258A">
      <w:pPr>
        <w:rPr>
          <w:rFonts w:ascii="Cambria" w:hAnsi="Cambria"/>
          <w:sz w:val="22"/>
          <w:szCs w:val="22"/>
        </w:rPr>
      </w:pPr>
      <w:r>
        <w:rPr>
          <w:rFonts w:ascii="Cambria" w:hAnsi="Cambria"/>
          <w:sz w:val="22"/>
          <w:szCs w:val="22"/>
        </w:rPr>
        <w:t xml:space="preserve">Higher income households </w:t>
      </w:r>
      <w:r w:rsidR="00B92168">
        <w:rPr>
          <w:rFonts w:ascii="Cambria" w:hAnsi="Cambria"/>
          <w:sz w:val="22"/>
          <w:szCs w:val="22"/>
        </w:rPr>
        <w:t xml:space="preserve">can afford </w:t>
      </w:r>
      <w:r w:rsidR="00B6315A">
        <w:rPr>
          <w:rFonts w:ascii="Cambria" w:hAnsi="Cambria"/>
          <w:sz w:val="22"/>
          <w:szCs w:val="22"/>
        </w:rPr>
        <w:t>larger</w:t>
      </w:r>
      <w:r w:rsidR="00B92168">
        <w:rPr>
          <w:rFonts w:ascii="Cambria" w:hAnsi="Cambria"/>
          <w:sz w:val="22"/>
          <w:szCs w:val="22"/>
        </w:rPr>
        <w:t xml:space="preserve"> loan amounts, are less likely to have </w:t>
      </w:r>
      <w:r w:rsidR="00206F39">
        <w:rPr>
          <w:rFonts w:ascii="Cambria" w:hAnsi="Cambria"/>
          <w:sz w:val="22"/>
          <w:szCs w:val="22"/>
        </w:rPr>
        <w:t>credit history problems, and can qualify for a wider range of homes</w:t>
      </w:r>
      <w:r w:rsidR="00681F53">
        <w:rPr>
          <w:rFonts w:ascii="Cambria" w:hAnsi="Cambria"/>
          <w:sz w:val="22"/>
          <w:szCs w:val="22"/>
        </w:rPr>
        <w:t xml:space="preserve"> than can lower income households</w:t>
      </w:r>
      <w:r w:rsidR="0080095C">
        <w:rPr>
          <w:rFonts w:ascii="Cambria" w:hAnsi="Cambria"/>
          <w:sz w:val="22"/>
          <w:szCs w:val="22"/>
        </w:rPr>
        <w:t xml:space="preserve">. </w:t>
      </w:r>
      <w:r w:rsidR="00DA7AB2">
        <w:rPr>
          <w:rFonts w:ascii="Cambria" w:hAnsi="Cambria"/>
          <w:sz w:val="22"/>
          <w:szCs w:val="22"/>
        </w:rPr>
        <w:t>Appropriation levels for the program</w:t>
      </w:r>
      <w:r w:rsidR="00A41366">
        <w:rPr>
          <w:rFonts w:ascii="Cambria" w:hAnsi="Cambria"/>
          <w:sz w:val="22"/>
          <w:szCs w:val="22"/>
        </w:rPr>
        <w:t xml:space="preserve"> crept up slightly</w:t>
      </w:r>
      <w:r w:rsidR="00C86C16">
        <w:rPr>
          <w:rFonts w:ascii="Cambria" w:hAnsi="Cambria"/>
          <w:sz w:val="22"/>
          <w:szCs w:val="22"/>
        </w:rPr>
        <w:t xml:space="preserve"> but they are nowhere near large enough to meet the need</w:t>
      </w:r>
      <w:r w:rsidR="00913B16">
        <w:rPr>
          <w:rFonts w:ascii="Cambria" w:hAnsi="Cambria"/>
          <w:sz w:val="22"/>
          <w:szCs w:val="22"/>
        </w:rPr>
        <w:t xml:space="preserve"> before </w:t>
      </w:r>
      <w:r w:rsidR="005E732E">
        <w:rPr>
          <w:rFonts w:ascii="Cambria" w:hAnsi="Cambria"/>
          <w:sz w:val="22"/>
          <w:szCs w:val="22"/>
        </w:rPr>
        <w:t xml:space="preserve">expanding the pool of income eligible applicants. </w:t>
      </w:r>
      <w:r w:rsidR="0046631C">
        <w:rPr>
          <w:rFonts w:ascii="Cambria" w:hAnsi="Cambria"/>
          <w:sz w:val="22"/>
          <w:szCs w:val="22"/>
        </w:rPr>
        <w:t>We are concerned that the overall expansion of income eligible households will divert limited resources away from those most in need.</w:t>
      </w:r>
    </w:p>
    <w:p w14:paraId="26122FC9" w14:textId="77777777" w:rsidR="0082258A" w:rsidRPr="00B408B9" w:rsidRDefault="0082258A" w:rsidP="0082258A">
      <w:pPr>
        <w:rPr>
          <w:rFonts w:ascii="Cambria" w:hAnsi="Cambria"/>
          <w:sz w:val="22"/>
          <w:szCs w:val="22"/>
        </w:rPr>
      </w:pPr>
    </w:p>
    <w:p w14:paraId="22BFFD2D" w14:textId="5A06B68C" w:rsidR="00C171B1" w:rsidRPr="00B408B9" w:rsidRDefault="00C171B1" w:rsidP="0082258A">
      <w:pPr>
        <w:rPr>
          <w:rFonts w:ascii="Cambria" w:hAnsi="Cambria"/>
          <w:sz w:val="22"/>
          <w:szCs w:val="22"/>
        </w:rPr>
      </w:pPr>
      <w:r w:rsidRPr="00B408B9">
        <w:rPr>
          <w:rFonts w:ascii="Cambria" w:hAnsi="Cambria"/>
          <w:sz w:val="22"/>
          <w:szCs w:val="22"/>
        </w:rPr>
        <w:t xml:space="preserve">In its analysis, </w:t>
      </w:r>
      <w:r w:rsidR="005E3FCC" w:rsidRPr="00B408B9">
        <w:rPr>
          <w:rFonts w:ascii="Cambria" w:hAnsi="Cambria"/>
          <w:sz w:val="22"/>
          <w:szCs w:val="22"/>
        </w:rPr>
        <w:t>USDA</w:t>
      </w:r>
      <w:r w:rsidRPr="00B408B9">
        <w:rPr>
          <w:rFonts w:ascii="Cambria" w:hAnsi="Cambria"/>
          <w:sz w:val="22"/>
          <w:szCs w:val="22"/>
        </w:rPr>
        <w:t xml:space="preserve"> states that its pilot program </w:t>
      </w:r>
      <w:r w:rsidR="00EE6033">
        <w:rPr>
          <w:rFonts w:ascii="Cambria" w:hAnsi="Cambria"/>
          <w:sz w:val="22"/>
          <w:szCs w:val="22"/>
        </w:rPr>
        <w:t>showed that</w:t>
      </w:r>
      <w:r w:rsidRPr="00B408B9">
        <w:rPr>
          <w:rFonts w:ascii="Cambria" w:hAnsi="Cambria"/>
          <w:sz w:val="22"/>
          <w:szCs w:val="22"/>
        </w:rPr>
        <w:t xml:space="preserve"> more borrowers</w:t>
      </w:r>
      <w:r w:rsidR="00EE6033">
        <w:rPr>
          <w:rFonts w:ascii="Cambria" w:hAnsi="Cambria"/>
          <w:sz w:val="22"/>
          <w:szCs w:val="22"/>
        </w:rPr>
        <w:t xml:space="preserve"> can be served</w:t>
      </w:r>
      <w:r w:rsidR="009B758D">
        <w:rPr>
          <w:rFonts w:ascii="Cambria" w:hAnsi="Cambria"/>
          <w:sz w:val="22"/>
          <w:szCs w:val="22"/>
        </w:rPr>
        <w:t>.</w:t>
      </w:r>
      <w:r w:rsidR="007C4865" w:rsidRPr="00B408B9">
        <w:rPr>
          <w:rFonts w:ascii="Cambria" w:hAnsi="Cambria"/>
          <w:sz w:val="22"/>
          <w:szCs w:val="22"/>
        </w:rPr>
        <w:t xml:space="preserve"> However,</w:t>
      </w:r>
      <w:r w:rsidRPr="00B408B9">
        <w:rPr>
          <w:rFonts w:ascii="Cambria" w:hAnsi="Cambria"/>
          <w:sz w:val="22"/>
          <w:szCs w:val="22"/>
        </w:rPr>
        <w:t xml:space="preserve"> the</w:t>
      </w:r>
      <w:r w:rsidR="00EE6033">
        <w:rPr>
          <w:rFonts w:ascii="Cambria" w:hAnsi="Cambria"/>
          <w:sz w:val="22"/>
          <w:szCs w:val="22"/>
        </w:rPr>
        <w:t xml:space="preserve"> data does not </w:t>
      </w:r>
      <w:r w:rsidR="007C4865" w:rsidRPr="00B408B9">
        <w:rPr>
          <w:rFonts w:ascii="Cambria" w:hAnsi="Cambria"/>
          <w:sz w:val="22"/>
          <w:szCs w:val="22"/>
        </w:rPr>
        <w:t>support</w:t>
      </w:r>
      <w:r w:rsidR="00EE6033">
        <w:rPr>
          <w:rFonts w:ascii="Cambria" w:hAnsi="Cambria"/>
          <w:sz w:val="22"/>
          <w:szCs w:val="22"/>
        </w:rPr>
        <w:t xml:space="preserve"> that conclusion. </w:t>
      </w:r>
      <w:r w:rsidR="0035238B">
        <w:rPr>
          <w:rFonts w:ascii="Cambria" w:hAnsi="Cambria"/>
          <w:sz w:val="22"/>
          <w:szCs w:val="22"/>
        </w:rPr>
        <w:t>No information was provided regarding t</w:t>
      </w:r>
      <w:r w:rsidR="007D0644" w:rsidRPr="00B408B9">
        <w:rPr>
          <w:rFonts w:ascii="Cambria" w:hAnsi="Cambria"/>
          <w:sz w:val="22"/>
          <w:szCs w:val="22"/>
        </w:rPr>
        <w:t xml:space="preserve">he number </w:t>
      </w:r>
      <w:r w:rsidR="00EE6033">
        <w:rPr>
          <w:rFonts w:ascii="Cambria" w:hAnsi="Cambria"/>
          <w:sz w:val="22"/>
          <w:szCs w:val="22"/>
        </w:rPr>
        <w:t>and</w:t>
      </w:r>
      <w:r w:rsidR="00EE6033" w:rsidRPr="00B408B9">
        <w:rPr>
          <w:rFonts w:ascii="Cambria" w:hAnsi="Cambria"/>
          <w:sz w:val="22"/>
          <w:szCs w:val="22"/>
        </w:rPr>
        <w:t xml:space="preserve"> </w:t>
      </w:r>
      <w:r w:rsidR="0035238B">
        <w:rPr>
          <w:rFonts w:ascii="Cambria" w:hAnsi="Cambria"/>
          <w:sz w:val="22"/>
          <w:szCs w:val="22"/>
        </w:rPr>
        <w:t xml:space="preserve">income </w:t>
      </w:r>
      <w:r w:rsidR="007D0644" w:rsidRPr="00B408B9">
        <w:rPr>
          <w:rFonts w:ascii="Cambria" w:hAnsi="Cambria"/>
          <w:sz w:val="22"/>
          <w:szCs w:val="22"/>
        </w:rPr>
        <w:t xml:space="preserve">level of </w:t>
      </w:r>
      <w:r w:rsidRPr="00B408B9">
        <w:rPr>
          <w:rFonts w:ascii="Cambria" w:hAnsi="Cambria"/>
          <w:sz w:val="22"/>
          <w:szCs w:val="22"/>
        </w:rPr>
        <w:t>two-person, minimum wage earner households</w:t>
      </w:r>
      <w:r w:rsidR="00EE6033">
        <w:rPr>
          <w:rFonts w:ascii="Cambria" w:hAnsi="Cambria"/>
          <w:sz w:val="22"/>
          <w:szCs w:val="22"/>
        </w:rPr>
        <w:t xml:space="preserve"> </w:t>
      </w:r>
      <w:r w:rsidR="0035238B">
        <w:rPr>
          <w:rFonts w:ascii="Cambria" w:hAnsi="Cambria"/>
          <w:sz w:val="22"/>
          <w:szCs w:val="22"/>
        </w:rPr>
        <w:t xml:space="preserve">served </w:t>
      </w:r>
      <w:r w:rsidR="00EE6033">
        <w:rPr>
          <w:rFonts w:ascii="Cambria" w:hAnsi="Cambria"/>
          <w:sz w:val="22"/>
          <w:szCs w:val="22"/>
        </w:rPr>
        <w:t>o</w:t>
      </w:r>
      <w:r w:rsidRPr="00B408B9">
        <w:rPr>
          <w:rFonts w:ascii="Cambria" w:hAnsi="Cambria"/>
          <w:sz w:val="22"/>
          <w:szCs w:val="22"/>
        </w:rPr>
        <w:t xml:space="preserve">ver the demonstration </w:t>
      </w:r>
      <w:r w:rsidR="00155163" w:rsidRPr="00B408B9">
        <w:rPr>
          <w:rFonts w:ascii="Cambria" w:hAnsi="Cambria"/>
          <w:sz w:val="22"/>
          <w:szCs w:val="22"/>
        </w:rPr>
        <w:t>period</w:t>
      </w:r>
      <w:r w:rsidR="0035238B">
        <w:rPr>
          <w:rFonts w:ascii="Cambria" w:hAnsi="Cambria"/>
          <w:sz w:val="22"/>
          <w:szCs w:val="22"/>
        </w:rPr>
        <w:t xml:space="preserve">. HAC notes that </w:t>
      </w:r>
      <w:r w:rsidR="00414D3C">
        <w:rPr>
          <w:rFonts w:ascii="Cambria" w:hAnsi="Cambria"/>
          <w:sz w:val="22"/>
          <w:szCs w:val="22"/>
        </w:rPr>
        <w:t>program funding</w:t>
      </w:r>
      <w:r w:rsidR="0035238B">
        <w:rPr>
          <w:rFonts w:ascii="Cambria" w:hAnsi="Cambria"/>
          <w:sz w:val="22"/>
          <w:szCs w:val="22"/>
        </w:rPr>
        <w:t xml:space="preserve"> increased over the demonstration period. </w:t>
      </w:r>
      <w:r w:rsidR="00414D3C">
        <w:rPr>
          <w:rFonts w:ascii="Cambria" w:hAnsi="Cambria"/>
          <w:sz w:val="22"/>
          <w:szCs w:val="22"/>
        </w:rPr>
        <w:t xml:space="preserve"> </w:t>
      </w:r>
      <w:r w:rsidR="00414D3C" w:rsidRPr="00B408B9">
        <w:rPr>
          <w:rFonts w:ascii="Cambria" w:hAnsi="Cambria"/>
          <w:sz w:val="22"/>
          <w:szCs w:val="22"/>
        </w:rPr>
        <w:t xml:space="preserve">Furthermore, the larger impact of income banding is difficult to assess because approximately half of the states in the income pilot also participated in the area loan limit pilot. </w:t>
      </w:r>
      <w:r w:rsidR="000C7F10" w:rsidRPr="00B408B9">
        <w:rPr>
          <w:rFonts w:ascii="Cambria" w:hAnsi="Cambria"/>
          <w:sz w:val="22"/>
          <w:szCs w:val="22"/>
        </w:rPr>
        <w:t xml:space="preserve"> </w:t>
      </w:r>
    </w:p>
    <w:p w14:paraId="3A6061F1" w14:textId="77777777" w:rsidR="0082258A" w:rsidRPr="00B408B9" w:rsidRDefault="0082258A" w:rsidP="0082258A">
      <w:pPr>
        <w:rPr>
          <w:rFonts w:ascii="Cambria" w:hAnsi="Cambria"/>
          <w:b/>
          <w:sz w:val="22"/>
          <w:szCs w:val="22"/>
        </w:rPr>
      </w:pPr>
    </w:p>
    <w:p w14:paraId="1E9A360A" w14:textId="77777777" w:rsidR="00C171B1" w:rsidRPr="00B408B9" w:rsidRDefault="00C171B1" w:rsidP="0082258A">
      <w:pPr>
        <w:rPr>
          <w:rFonts w:ascii="Cambria" w:hAnsi="Cambria"/>
          <w:b/>
          <w:sz w:val="22"/>
          <w:szCs w:val="22"/>
        </w:rPr>
      </w:pPr>
      <w:r w:rsidRPr="00B408B9">
        <w:rPr>
          <w:rFonts w:ascii="Cambria" w:hAnsi="Cambria"/>
          <w:b/>
          <w:sz w:val="22"/>
          <w:szCs w:val="22"/>
        </w:rPr>
        <w:t xml:space="preserve">Table 1: USDA Section 502 Direct Loan Obligations </w:t>
      </w:r>
      <w:bookmarkStart w:id="0" w:name="_Hlk526847067"/>
      <w:r w:rsidRPr="00B408B9">
        <w:rPr>
          <w:rFonts w:ascii="Cambria" w:hAnsi="Cambria"/>
          <w:b/>
          <w:sz w:val="22"/>
          <w:szCs w:val="22"/>
        </w:rPr>
        <w:t>(in nominal dollars)</w:t>
      </w:r>
    </w:p>
    <w:tbl>
      <w:tblPr>
        <w:tblStyle w:val="TableGrid"/>
        <w:tblW w:w="0" w:type="auto"/>
        <w:tblLayout w:type="fixed"/>
        <w:tblLook w:val="04A0" w:firstRow="1" w:lastRow="0" w:firstColumn="1" w:lastColumn="0" w:noHBand="0" w:noVBand="1"/>
      </w:tblPr>
      <w:tblGrid>
        <w:gridCol w:w="1584"/>
        <w:gridCol w:w="2016"/>
        <w:gridCol w:w="2016"/>
        <w:gridCol w:w="1440"/>
      </w:tblGrid>
      <w:tr w:rsidR="00C171B1" w:rsidRPr="00B408B9" w14:paraId="2959A587" w14:textId="77777777" w:rsidTr="0082258A">
        <w:tc>
          <w:tcPr>
            <w:tcW w:w="1584" w:type="dxa"/>
          </w:tcPr>
          <w:bookmarkEnd w:id="0"/>
          <w:p w14:paraId="1D17EF28" w14:textId="77777777" w:rsidR="00C171B1" w:rsidRPr="00B408B9" w:rsidRDefault="00C171B1" w:rsidP="0082258A">
            <w:pPr>
              <w:jc w:val="center"/>
              <w:rPr>
                <w:rFonts w:ascii="Tahoma" w:hAnsi="Tahoma" w:cs="Tahoma"/>
                <w:sz w:val="22"/>
                <w:szCs w:val="22"/>
              </w:rPr>
            </w:pPr>
            <w:r w:rsidRPr="00B408B9">
              <w:rPr>
                <w:rFonts w:ascii="Tahoma" w:hAnsi="Tahoma" w:cs="Tahoma"/>
                <w:sz w:val="22"/>
                <w:szCs w:val="22"/>
              </w:rPr>
              <w:t>Year</w:t>
            </w:r>
          </w:p>
        </w:tc>
        <w:tc>
          <w:tcPr>
            <w:tcW w:w="2016" w:type="dxa"/>
          </w:tcPr>
          <w:p w14:paraId="3A3E9CFC" w14:textId="77777777" w:rsidR="00C171B1" w:rsidRPr="00B408B9" w:rsidRDefault="00C171B1" w:rsidP="0082258A">
            <w:pPr>
              <w:jc w:val="center"/>
              <w:rPr>
                <w:rFonts w:ascii="Tahoma" w:hAnsi="Tahoma" w:cs="Tahoma"/>
                <w:sz w:val="22"/>
                <w:szCs w:val="22"/>
              </w:rPr>
            </w:pPr>
            <w:r w:rsidRPr="00B408B9">
              <w:rPr>
                <w:rFonts w:ascii="Tahoma" w:hAnsi="Tahoma" w:cs="Tahoma"/>
                <w:sz w:val="22"/>
                <w:szCs w:val="22"/>
              </w:rPr>
              <w:t>Appropriations</w:t>
            </w:r>
          </w:p>
        </w:tc>
        <w:tc>
          <w:tcPr>
            <w:tcW w:w="2016" w:type="dxa"/>
          </w:tcPr>
          <w:p w14:paraId="0F194604" w14:textId="77777777" w:rsidR="00C171B1" w:rsidRPr="00B408B9" w:rsidRDefault="00C171B1" w:rsidP="0082258A">
            <w:pPr>
              <w:jc w:val="center"/>
              <w:rPr>
                <w:rFonts w:ascii="Tahoma" w:hAnsi="Tahoma" w:cs="Tahoma"/>
                <w:sz w:val="22"/>
                <w:szCs w:val="22"/>
              </w:rPr>
            </w:pPr>
            <w:r w:rsidRPr="00B408B9">
              <w:rPr>
                <w:rFonts w:ascii="Tahoma" w:hAnsi="Tahoma" w:cs="Tahoma"/>
                <w:sz w:val="22"/>
                <w:szCs w:val="22"/>
              </w:rPr>
              <w:t>Obligations in Dollars</w:t>
            </w:r>
          </w:p>
        </w:tc>
        <w:tc>
          <w:tcPr>
            <w:tcW w:w="1440" w:type="dxa"/>
          </w:tcPr>
          <w:p w14:paraId="579FD275" w14:textId="77777777" w:rsidR="00C171B1" w:rsidRPr="00B408B9" w:rsidRDefault="00C171B1" w:rsidP="0082258A">
            <w:pPr>
              <w:jc w:val="center"/>
              <w:rPr>
                <w:rFonts w:ascii="Tahoma" w:hAnsi="Tahoma" w:cs="Tahoma"/>
                <w:sz w:val="22"/>
                <w:szCs w:val="22"/>
              </w:rPr>
            </w:pPr>
            <w:r w:rsidRPr="00B408B9">
              <w:rPr>
                <w:rFonts w:ascii="Tahoma" w:hAnsi="Tahoma" w:cs="Tahoma"/>
                <w:sz w:val="22"/>
                <w:szCs w:val="22"/>
              </w:rPr>
              <w:t>Number of Obligations</w:t>
            </w:r>
          </w:p>
        </w:tc>
      </w:tr>
      <w:tr w:rsidR="00C171B1" w:rsidRPr="00B408B9" w14:paraId="1BF42DC5" w14:textId="77777777" w:rsidTr="0082258A">
        <w:tc>
          <w:tcPr>
            <w:tcW w:w="1584" w:type="dxa"/>
          </w:tcPr>
          <w:p w14:paraId="6F2FE968" w14:textId="77777777" w:rsidR="00C171B1" w:rsidRPr="00B408B9" w:rsidRDefault="00C171B1" w:rsidP="0082258A">
            <w:pPr>
              <w:rPr>
                <w:rFonts w:ascii="Tahoma" w:hAnsi="Tahoma" w:cs="Tahoma"/>
                <w:sz w:val="22"/>
                <w:szCs w:val="22"/>
              </w:rPr>
            </w:pPr>
            <w:r w:rsidRPr="00B408B9">
              <w:rPr>
                <w:rFonts w:ascii="Tahoma" w:hAnsi="Tahoma" w:cs="Tahoma"/>
                <w:sz w:val="22"/>
                <w:szCs w:val="22"/>
              </w:rPr>
              <w:t>2015</w:t>
            </w:r>
          </w:p>
        </w:tc>
        <w:tc>
          <w:tcPr>
            <w:tcW w:w="2016" w:type="dxa"/>
          </w:tcPr>
          <w:p w14:paraId="1C1A31EB" w14:textId="77777777" w:rsidR="00C171B1" w:rsidRPr="00B408B9" w:rsidRDefault="00C171B1" w:rsidP="0082258A">
            <w:pPr>
              <w:jc w:val="right"/>
              <w:rPr>
                <w:rFonts w:ascii="Tahoma" w:hAnsi="Tahoma" w:cs="Tahoma"/>
                <w:color w:val="000000"/>
                <w:sz w:val="22"/>
                <w:szCs w:val="22"/>
              </w:rPr>
            </w:pPr>
            <w:r w:rsidRPr="00B408B9">
              <w:rPr>
                <w:rFonts w:ascii="Tahoma" w:hAnsi="Tahoma" w:cs="Tahoma"/>
                <w:color w:val="000000"/>
                <w:sz w:val="22"/>
                <w:szCs w:val="22"/>
              </w:rPr>
              <w:t>$900,000,000</w:t>
            </w:r>
          </w:p>
        </w:tc>
        <w:tc>
          <w:tcPr>
            <w:tcW w:w="2016" w:type="dxa"/>
          </w:tcPr>
          <w:p w14:paraId="33F9D705" w14:textId="77777777" w:rsidR="00C171B1" w:rsidRPr="00B408B9" w:rsidRDefault="00C171B1" w:rsidP="0082258A">
            <w:pPr>
              <w:jc w:val="right"/>
              <w:rPr>
                <w:rFonts w:ascii="Tahoma" w:hAnsi="Tahoma" w:cs="Tahoma"/>
                <w:color w:val="000000"/>
                <w:sz w:val="22"/>
                <w:szCs w:val="22"/>
              </w:rPr>
            </w:pPr>
            <w:r w:rsidRPr="00B408B9">
              <w:rPr>
                <w:rFonts w:ascii="Tahoma" w:hAnsi="Tahoma" w:cs="Tahoma"/>
                <w:color w:val="000000"/>
                <w:sz w:val="22"/>
                <w:szCs w:val="22"/>
              </w:rPr>
              <w:t>$899,814,129</w:t>
            </w:r>
          </w:p>
        </w:tc>
        <w:tc>
          <w:tcPr>
            <w:tcW w:w="1440" w:type="dxa"/>
          </w:tcPr>
          <w:p w14:paraId="12BA9BB5" w14:textId="77777777" w:rsidR="00C171B1" w:rsidRPr="00B408B9" w:rsidRDefault="00C171B1" w:rsidP="0082258A">
            <w:pPr>
              <w:jc w:val="right"/>
              <w:rPr>
                <w:rFonts w:ascii="Tahoma" w:hAnsi="Tahoma" w:cs="Tahoma"/>
                <w:sz w:val="22"/>
                <w:szCs w:val="22"/>
              </w:rPr>
            </w:pPr>
            <w:r w:rsidRPr="00B408B9">
              <w:rPr>
                <w:rFonts w:ascii="Tahoma" w:hAnsi="Tahoma" w:cs="Tahoma"/>
                <w:color w:val="000000"/>
                <w:sz w:val="22"/>
                <w:szCs w:val="22"/>
              </w:rPr>
              <w:t>7,064</w:t>
            </w:r>
          </w:p>
        </w:tc>
      </w:tr>
      <w:tr w:rsidR="00C171B1" w:rsidRPr="00B408B9" w14:paraId="55DA755D" w14:textId="77777777" w:rsidTr="0082258A">
        <w:tc>
          <w:tcPr>
            <w:tcW w:w="1584" w:type="dxa"/>
          </w:tcPr>
          <w:p w14:paraId="018CAF32" w14:textId="77777777" w:rsidR="00C171B1" w:rsidRPr="00B408B9" w:rsidRDefault="00C171B1" w:rsidP="0082258A">
            <w:pPr>
              <w:rPr>
                <w:rFonts w:ascii="Tahoma" w:hAnsi="Tahoma" w:cs="Tahoma"/>
                <w:sz w:val="22"/>
                <w:szCs w:val="22"/>
              </w:rPr>
            </w:pPr>
            <w:r w:rsidRPr="00B408B9">
              <w:rPr>
                <w:rFonts w:ascii="Tahoma" w:hAnsi="Tahoma" w:cs="Tahoma"/>
                <w:sz w:val="22"/>
                <w:szCs w:val="22"/>
              </w:rPr>
              <w:t>2016</w:t>
            </w:r>
          </w:p>
        </w:tc>
        <w:tc>
          <w:tcPr>
            <w:tcW w:w="2016" w:type="dxa"/>
          </w:tcPr>
          <w:p w14:paraId="0D29AF5D" w14:textId="77777777" w:rsidR="00C171B1" w:rsidRPr="00B408B9" w:rsidRDefault="00C171B1" w:rsidP="0082258A">
            <w:pPr>
              <w:jc w:val="right"/>
              <w:rPr>
                <w:rFonts w:ascii="Tahoma" w:hAnsi="Tahoma" w:cs="Tahoma"/>
                <w:color w:val="000000"/>
                <w:sz w:val="22"/>
                <w:szCs w:val="22"/>
              </w:rPr>
            </w:pPr>
            <w:r w:rsidRPr="00B408B9">
              <w:rPr>
                <w:rFonts w:ascii="Tahoma" w:hAnsi="Tahoma" w:cs="Tahoma"/>
                <w:color w:val="000000"/>
                <w:sz w:val="22"/>
                <w:szCs w:val="22"/>
              </w:rPr>
              <w:t>$900,000,000</w:t>
            </w:r>
          </w:p>
        </w:tc>
        <w:tc>
          <w:tcPr>
            <w:tcW w:w="2016" w:type="dxa"/>
          </w:tcPr>
          <w:p w14:paraId="13393DFC" w14:textId="77777777" w:rsidR="00C171B1" w:rsidRPr="00B408B9" w:rsidRDefault="00C171B1" w:rsidP="0082258A">
            <w:pPr>
              <w:jc w:val="right"/>
              <w:rPr>
                <w:rFonts w:ascii="Tahoma" w:hAnsi="Tahoma" w:cs="Tahoma"/>
                <w:color w:val="000000"/>
                <w:sz w:val="22"/>
                <w:szCs w:val="22"/>
              </w:rPr>
            </w:pPr>
            <w:r w:rsidRPr="00B408B9">
              <w:rPr>
                <w:rFonts w:ascii="Tahoma" w:hAnsi="Tahoma" w:cs="Tahoma"/>
                <w:color w:val="000000"/>
                <w:sz w:val="22"/>
                <w:szCs w:val="22"/>
              </w:rPr>
              <w:t>$958,259,532</w:t>
            </w:r>
          </w:p>
        </w:tc>
        <w:tc>
          <w:tcPr>
            <w:tcW w:w="1440" w:type="dxa"/>
          </w:tcPr>
          <w:p w14:paraId="160B9832" w14:textId="77777777" w:rsidR="00C171B1" w:rsidRPr="00B408B9" w:rsidRDefault="00C171B1" w:rsidP="0082258A">
            <w:pPr>
              <w:jc w:val="right"/>
              <w:rPr>
                <w:rFonts w:ascii="Tahoma" w:hAnsi="Tahoma" w:cs="Tahoma"/>
                <w:sz w:val="22"/>
                <w:szCs w:val="22"/>
              </w:rPr>
            </w:pPr>
            <w:r w:rsidRPr="00B408B9">
              <w:rPr>
                <w:rFonts w:ascii="Tahoma" w:hAnsi="Tahoma" w:cs="Tahoma"/>
                <w:color w:val="000000"/>
                <w:sz w:val="22"/>
                <w:szCs w:val="22"/>
              </w:rPr>
              <w:t>7,089</w:t>
            </w:r>
          </w:p>
        </w:tc>
      </w:tr>
      <w:tr w:rsidR="00C171B1" w:rsidRPr="00B408B9" w14:paraId="33C920AA" w14:textId="77777777" w:rsidTr="0082258A">
        <w:tc>
          <w:tcPr>
            <w:tcW w:w="1584" w:type="dxa"/>
          </w:tcPr>
          <w:p w14:paraId="38D56603" w14:textId="77777777" w:rsidR="00C171B1" w:rsidRPr="00B408B9" w:rsidRDefault="00C171B1" w:rsidP="0082258A">
            <w:pPr>
              <w:rPr>
                <w:rFonts w:ascii="Tahoma" w:hAnsi="Tahoma" w:cs="Tahoma"/>
                <w:sz w:val="22"/>
                <w:szCs w:val="22"/>
              </w:rPr>
            </w:pPr>
            <w:r w:rsidRPr="00B408B9">
              <w:rPr>
                <w:rFonts w:ascii="Tahoma" w:hAnsi="Tahoma" w:cs="Tahoma"/>
                <w:sz w:val="22"/>
                <w:szCs w:val="22"/>
              </w:rPr>
              <w:t>2017</w:t>
            </w:r>
          </w:p>
        </w:tc>
        <w:tc>
          <w:tcPr>
            <w:tcW w:w="2016" w:type="dxa"/>
          </w:tcPr>
          <w:p w14:paraId="6DB74E90" w14:textId="77777777" w:rsidR="00C171B1" w:rsidRPr="00B408B9" w:rsidRDefault="00C171B1" w:rsidP="0082258A">
            <w:pPr>
              <w:jc w:val="right"/>
              <w:rPr>
                <w:rFonts w:ascii="Tahoma" w:hAnsi="Tahoma" w:cs="Tahoma"/>
                <w:color w:val="000000"/>
                <w:sz w:val="22"/>
                <w:szCs w:val="22"/>
              </w:rPr>
            </w:pPr>
            <w:r w:rsidRPr="00B408B9">
              <w:rPr>
                <w:rFonts w:ascii="Tahoma" w:hAnsi="Tahoma" w:cs="Tahoma"/>
                <w:color w:val="000000"/>
                <w:sz w:val="22"/>
                <w:szCs w:val="22"/>
              </w:rPr>
              <w:t>$1,000,000,000</w:t>
            </w:r>
          </w:p>
        </w:tc>
        <w:tc>
          <w:tcPr>
            <w:tcW w:w="2016" w:type="dxa"/>
          </w:tcPr>
          <w:p w14:paraId="2C4DE379" w14:textId="77777777" w:rsidR="00C171B1" w:rsidRPr="00B408B9" w:rsidRDefault="00C171B1" w:rsidP="0082258A">
            <w:pPr>
              <w:jc w:val="right"/>
              <w:rPr>
                <w:rFonts w:ascii="Tahoma" w:hAnsi="Tahoma" w:cs="Tahoma"/>
                <w:color w:val="000000"/>
                <w:sz w:val="22"/>
                <w:szCs w:val="22"/>
              </w:rPr>
            </w:pPr>
            <w:r w:rsidRPr="00B408B9">
              <w:rPr>
                <w:rFonts w:ascii="Tahoma" w:hAnsi="Tahoma" w:cs="Tahoma"/>
                <w:color w:val="000000"/>
                <w:sz w:val="22"/>
                <w:szCs w:val="22"/>
              </w:rPr>
              <w:t>$999,991,165</w:t>
            </w:r>
          </w:p>
        </w:tc>
        <w:tc>
          <w:tcPr>
            <w:tcW w:w="1440" w:type="dxa"/>
          </w:tcPr>
          <w:p w14:paraId="431C67DB" w14:textId="77777777" w:rsidR="00C171B1" w:rsidRPr="00B408B9" w:rsidRDefault="00C171B1" w:rsidP="0082258A">
            <w:pPr>
              <w:jc w:val="right"/>
              <w:rPr>
                <w:rFonts w:ascii="Tahoma" w:hAnsi="Tahoma" w:cs="Tahoma"/>
                <w:sz w:val="22"/>
                <w:szCs w:val="22"/>
              </w:rPr>
            </w:pPr>
            <w:r w:rsidRPr="00B408B9">
              <w:rPr>
                <w:rFonts w:ascii="Tahoma" w:hAnsi="Tahoma" w:cs="Tahoma"/>
                <w:color w:val="000000"/>
                <w:sz w:val="22"/>
                <w:szCs w:val="22"/>
              </w:rPr>
              <w:t>7,167</w:t>
            </w:r>
          </w:p>
        </w:tc>
      </w:tr>
      <w:tr w:rsidR="00C171B1" w:rsidRPr="00B408B9" w14:paraId="5906679E" w14:textId="77777777" w:rsidTr="0082258A">
        <w:tc>
          <w:tcPr>
            <w:tcW w:w="1584" w:type="dxa"/>
          </w:tcPr>
          <w:p w14:paraId="45F6E702" w14:textId="77777777" w:rsidR="00C171B1" w:rsidRPr="00B408B9" w:rsidRDefault="00C171B1" w:rsidP="0082258A">
            <w:pPr>
              <w:rPr>
                <w:rFonts w:ascii="Tahoma" w:hAnsi="Tahoma" w:cs="Tahoma"/>
                <w:sz w:val="22"/>
                <w:szCs w:val="22"/>
              </w:rPr>
            </w:pPr>
            <w:r w:rsidRPr="00B408B9">
              <w:rPr>
                <w:rFonts w:ascii="Tahoma" w:hAnsi="Tahoma" w:cs="Tahoma"/>
                <w:sz w:val="22"/>
                <w:szCs w:val="22"/>
              </w:rPr>
              <w:t>2018</w:t>
            </w:r>
          </w:p>
        </w:tc>
        <w:tc>
          <w:tcPr>
            <w:tcW w:w="2016" w:type="dxa"/>
          </w:tcPr>
          <w:p w14:paraId="2C091BFB" w14:textId="77777777" w:rsidR="00C171B1" w:rsidRPr="00B408B9" w:rsidRDefault="00C171B1" w:rsidP="0082258A">
            <w:pPr>
              <w:jc w:val="right"/>
              <w:rPr>
                <w:rFonts w:ascii="Tahoma" w:hAnsi="Tahoma" w:cs="Tahoma"/>
                <w:color w:val="000000"/>
                <w:sz w:val="22"/>
                <w:szCs w:val="22"/>
              </w:rPr>
            </w:pPr>
            <w:r w:rsidRPr="00B408B9">
              <w:rPr>
                <w:rFonts w:ascii="Tahoma" w:hAnsi="Tahoma" w:cs="Tahoma"/>
                <w:color w:val="000000"/>
                <w:sz w:val="22"/>
                <w:szCs w:val="22"/>
              </w:rPr>
              <w:t>$1,100,000,000</w:t>
            </w:r>
          </w:p>
        </w:tc>
        <w:tc>
          <w:tcPr>
            <w:tcW w:w="2016" w:type="dxa"/>
          </w:tcPr>
          <w:p w14:paraId="7483475E" w14:textId="77777777" w:rsidR="00C171B1" w:rsidRPr="00B408B9" w:rsidRDefault="00C171B1" w:rsidP="0082258A">
            <w:pPr>
              <w:jc w:val="right"/>
              <w:rPr>
                <w:rFonts w:ascii="Tahoma" w:hAnsi="Tahoma" w:cs="Tahoma"/>
                <w:color w:val="000000"/>
                <w:sz w:val="22"/>
                <w:szCs w:val="22"/>
              </w:rPr>
            </w:pPr>
            <w:r w:rsidRPr="00B408B9">
              <w:rPr>
                <w:rFonts w:ascii="Tahoma" w:hAnsi="Tahoma" w:cs="Tahoma"/>
                <w:color w:val="000000"/>
                <w:sz w:val="22"/>
                <w:szCs w:val="22"/>
              </w:rPr>
              <w:t>$1,100,796,383</w:t>
            </w:r>
          </w:p>
        </w:tc>
        <w:tc>
          <w:tcPr>
            <w:tcW w:w="1440" w:type="dxa"/>
          </w:tcPr>
          <w:p w14:paraId="6B55E385" w14:textId="77777777" w:rsidR="00C171B1" w:rsidRPr="00B408B9" w:rsidRDefault="00C171B1" w:rsidP="0082258A">
            <w:pPr>
              <w:jc w:val="right"/>
              <w:rPr>
                <w:rFonts w:ascii="Tahoma" w:hAnsi="Tahoma" w:cs="Tahoma"/>
                <w:color w:val="000000"/>
                <w:sz w:val="22"/>
                <w:szCs w:val="22"/>
              </w:rPr>
            </w:pPr>
            <w:r w:rsidRPr="00B408B9">
              <w:rPr>
                <w:rFonts w:ascii="Tahoma" w:hAnsi="Tahoma" w:cs="Tahoma"/>
                <w:color w:val="000000"/>
                <w:sz w:val="22"/>
                <w:szCs w:val="22"/>
              </w:rPr>
              <w:t>7,199</w:t>
            </w:r>
          </w:p>
        </w:tc>
      </w:tr>
    </w:tbl>
    <w:p w14:paraId="65C1ED71" w14:textId="77777777" w:rsidR="00C171B1" w:rsidRPr="00B408B9" w:rsidRDefault="00C171B1" w:rsidP="0082258A">
      <w:pPr>
        <w:rPr>
          <w:rFonts w:ascii="Cambria" w:hAnsi="Cambria"/>
          <w:sz w:val="22"/>
          <w:szCs w:val="22"/>
        </w:rPr>
      </w:pPr>
    </w:p>
    <w:p w14:paraId="5BBEE81C" w14:textId="4E960E92" w:rsidR="00414D3C" w:rsidRPr="00B408B9" w:rsidRDefault="00414D3C" w:rsidP="00414D3C">
      <w:pPr>
        <w:rPr>
          <w:rFonts w:ascii="Cambria" w:hAnsi="Cambria"/>
          <w:sz w:val="22"/>
          <w:szCs w:val="22"/>
        </w:rPr>
      </w:pPr>
      <w:r>
        <w:rPr>
          <w:rFonts w:ascii="Cambria" w:hAnsi="Cambria"/>
          <w:sz w:val="22"/>
          <w:szCs w:val="22"/>
        </w:rPr>
        <w:t>S</w:t>
      </w:r>
      <w:r w:rsidRPr="00B408B9">
        <w:rPr>
          <w:rFonts w:ascii="Cambria" w:hAnsi="Cambria"/>
          <w:sz w:val="22"/>
          <w:szCs w:val="22"/>
        </w:rPr>
        <w:t>ome of the increase in borrowers served</w:t>
      </w:r>
      <w:r>
        <w:rPr>
          <w:rFonts w:ascii="Cambria" w:hAnsi="Cambria"/>
          <w:sz w:val="22"/>
          <w:szCs w:val="22"/>
        </w:rPr>
        <w:t xml:space="preserve"> may have come from the demonstration, but the agency has not shown that to be the case</w:t>
      </w:r>
      <w:r w:rsidRPr="00B408B9">
        <w:rPr>
          <w:rFonts w:ascii="Cambria" w:hAnsi="Cambria"/>
          <w:sz w:val="22"/>
          <w:szCs w:val="22"/>
        </w:rPr>
        <w:t xml:space="preserve">. </w:t>
      </w:r>
      <w:r w:rsidR="00521C8F">
        <w:rPr>
          <w:rFonts w:ascii="Cambria" w:hAnsi="Cambria"/>
          <w:sz w:val="22"/>
          <w:szCs w:val="22"/>
        </w:rPr>
        <w:t xml:space="preserve"> </w:t>
      </w:r>
      <w:r w:rsidR="005F6E02">
        <w:rPr>
          <w:rFonts w:ascii="Cambria" w:hAnsi="Cambria"/>
          <w:sz w:val="22"/>
          <w:szCs w:val="22"/>
        </w:rPr>
        <w:t>While e</w:t>
      </w:r>
      <w:r w:rsidR="00D265F3">
        <w:rPr>
          <w:rFonts w:ascii="Cambria" w:hAnsi="Cambria"/>
          <w:sz w:val="22"/>
          <w:szCs w:val="22"/>
        </w:rPr>
        <w:t>xpanding the program to serve more people</w:t>
      </w:r>
      <w:r w:rsidR="005F6E02">
        <w:rPr>
          <w:rFonts w:ascii="Cambria" w:hAnsi="Cambria"/>
          <w:sz w:val="22"/>
          <w:szCs w:val="22"/>
        </w:rPr>
        <w:t xml:space="preserve"> is a worthy goal.</w:t>
      </w:r>
      <w:r w:rsidR="00D265F3">
        <w:rPr>
          <w:rFonts w:ascii="Cambria" w:hAnsi="Cambria"/>
          <w:sz w:val="22"/>
          <w:szCs w:val="22"/>
        </w:rPr>
        <w:t xml:space="preserve"> t</w:t>
      </w:r>
      <w:r w:rsidR="00521C8F">
        <w:rPr>
          <w:rFonts w:ascii="Cambria" w:hAnsi="Cambria"/>
          <w:sz w:val="22"/>
          <w:szCs w:val="22"/>
        </w:rPr>
        <w:t>his mistaken conclusion is leading the agency toward a program change that will hurt rural families in the most need.</w:t>
      </w:r>
    </w:p>
    <w:p w14:paraId="45DB4EC4" w14:textId="4ACDA5EF" w:rsidR="00C171B1" w:rsidRPr="00B408B9" w:rsidRDefault="00C171B1" w:rsidP="0082258A">
      <w:pPr>
        <w:rPr>
          <w:rFonts w:ascii="Cambria" w:hAnsi="Cambria"/>
          <w:sz w:val="22"/>
          <w:szCs w:val="22"/>
        </w:rPr>
      </w:pPr>
    </w:p>
    <w:p w14:paraId="320BC5E2" w14:textId="77777777" w:rsidR="00C171B1" w:rsidRPr="00B408B9" w:rsidRDefault="00C171B1" w:rsidP="0082258A">
      <w:pPr>
        <w:rPr>
          <w:rFonts w:ascii="Tahoma" w:hAnsi="Tahoma" w:cs="Tahoma"/>
          <w:b/>
          <w:sz w:val="22"/>
          <w:szCs w:val="22"/>
        </w:rPr>
      </w:pPr>
    </w:p>
    <w:p w14:paraId="08B34978" w14:textId="77777777" w:rsidR="00C171B1" w:rsidRPr="00B408B9" w:rsidRDefault="00C171B1" w:rsidP="0082258A">
      <w:pPr>
        <w:rPr>
          <w:rFonts w:ascii="Cambria" w:hAnsi="Cambria" w:cs="Tahoma"/>
          <w:b/>
          <w:sz w:val="22"/>
          <w:szCs w:val="22"/>
        </w:rPr>
      </w:pPr>
      <w:r w:rsidRPr="00B408B9">
        <w:rPr>
          <w:rFonts w:ascii="Cambria" w:hAnsi="Cambria" w:cs="Tahoma"/>
          <w:b/>
          <w:sz w:val="22"/>
          <w:szCs w:val="22"/>
        </w:rPr>
        <w:t xml:space="preserve">Net Family Assets </w:t>
      </w:r>
    </w:p>
    <w:p w14:paraId="61163651" w14:textId="77777777" w:rsidR="00FE4219" w:rsidRPr="00B408B9" w:rsidRDefault="00FE4219" w:rsidP="0082258A">
      <w:pPr>
        <w:rPr>
          <w:rFonts w:ascii="Cambria" w:hAnsi="Cambria" w:cs="Tahoma"/>
          <w:b/>
          <w:sz w:val="22"/>
          <w:szCs w:val="22"/>
        </w:rPr>
      </w:pPr>
    </w:p>
    <w:p w14:paraId="2C2EA455" w14:textId="77777777" w:rsidR="00C171B1" w:rsidRPr="00B408B9" w:rsidRDefault="00155163" w:rsidP="0082258A">
      <w:pPr>
        <w:rPr>
          <w:rFonts w:ascii="Cambria" w:hAnsi="Cambria"/>
          <w:sz w:val="22"/>
          <w:szCs w:val="22"/>
        </w:rPr>
      </w:pPr>
      <w:r w:rsidRPr="00B408B9">
        <w:rPr>
          <w:rFonts w:ascii="Cambria" w:hAnsi="Cambria"/>
          <w:sz w:val="22"/>
          <w:szCs w:val="22"/>
        </w:rPr>
        <w:lastRenderedPageBreak/>
        <w:t>USDA proposes</w:t>
      </w:r>
      <w:r w:rsidR="00C171B1" w:rsidRPr="00B408B9">
        <w:rPr>
          <w:rFonts w:ascii="Cambria" w:hAnsi="Cambria"/>
          <w:sz w:val="22"/>
          <w:szCs w:val="22"/>
        </w:rPr>
        <w:t xml:space="preserve"> to exclude net family assets from repayment income calculations because repayment income focuses on the income of those who sign the promissory note, whereas net family assets considers the finances of other family members. Net family assets will still be considered for annual income and down payment purposes. The Agency also proposes to revise the regulation so that the list of net family assets considered for annual income and down payment purposes would exclude amounts in voluntary savings accounts such as retirement accounts, life insurance policies, tax advantaged college savings plans, the value of tax advantaged health or medical savings or spending accounts. </w:t>
      </w:r>
    </w:p>
    <w:p w14:paraId="146321BB" w14:textId="77777777" w:rsidR="00FE4219" w:rsidRPr="00B408B9" w:rsidRDefault="00FE4219" w:rsidP="0082258A">
      <w:pPr>
        <w:rPr>
          <w:rFonts w:ascii="Cambria" w:hAnsi="Cambria"/>
          <w:sz w:val="22"/>
          <w:szCs w:val="22"/>
        </w:rPr>
      </w:pPr>
    </w:p>
    <w:p w14:paraId="3A11B609" w14:textId="77777777" w:rsidR="00C171B1" w:rsidRPr="00B408B9" w:rsidRDefault="00C171B1" w:rsidP="0082258A">
      <w:pPr>
        <w:rPr>
          <w:rFonts w:ascii="Cambria" w:hAnsi="Cambria"/>
          <w:sz w:val="22"/>
          <w:szCs w:val="22"/>
        </w:rPr>
      </w:pPr>
      <w:r w:rsidRPr="00B408B9">
        <w:rPr>
          <w:rFonts w:ascii="Cambria" w:hAnsi="Cambria"/>
          <w:sz w:val="22"/>
          <w:szCs w:val="22"/>
        </w:rPr>
        <w:t>HAC</w:t>
      </w:r>
      <w:r w:rsidR="0062457A" w:rsidRPr="00B408B9">
        <w:rPr>
          <w:rFonts w:ascii="Cambria" w:hAnsi="Cambria"/>
          <w:sz w:val="22"/>
          <w:szCs w:val="22"/>
        </w:rPr>
        <w:t xml:space="preserve"> generally</w:t>
      </w:r>
      <w:r w:rsidRPr="00B408B9">
        <w:rPr>
          <w:rFonts w:ascii="Cambria" w:hAnsi="Cambria"/>
          <w:sz w:val="22"/>
          <w:szCs w:val="22"/>
        </w:rPr>
        <w:t xml:space="preserve"> </w:t>
      </w:r>
      <w:r w:rsidR="0062457A" w:rsidRPr="00B408B9">
        <w:rPr>
          <w:rFonts w:ascii="Cambria" w:hAnsi="Cambria"/>
          <w:sz w:val="22"/>
          <w:szCs w:val="22"/>
        </w:rPr>
        <w:t xml:space="preserve">agrees with the Agency’s proposal </w:t>
      </w:r>
      <w:r w:rsidRPr="00B408B9">
        <w:rPr>
          <w:rFonts w:ascii="Cambria" w:hAnsi="Cambria"/>
          <w:sz w:val="22"/>
          <w:szCs w:val="22"/>
        </w:rPr>
        <w:t xml:space="preserve">to remove net family assets from repayment ability. Excluding retirement, education, and health savings accounts from consideration for down payment and annual income also makes sense. </w:t>
      </w:r>
    </w:p>
    <w:p w14:paraId="54814C76" w14:textId="77777777" w:rsidR="00FE4219" w:rsidRPr="00B408B9" w:rsidRDefault="00FE4219" w:rsidP="0082258A">
      <w:pPr>
        <w:rPr>
          <w:rFonts w:ascii="Cambria" w:hAnsi="Cambria"/>
          <w:sz w:val="22"/>
          <w:szCs w:val="22"/>
        </w:rPr>
      </w:pPr>
    </w:p>
    <w:p w14:paraId="7F5F38DC" w14:textId="2F1D3DB1" w:rsidR="00C171B1" w:rsidRPr="00B408B9" w:rsidRDefault="00C171B1" w:rsidP="0082258A">
      <w:pPr>
        <w:rPr>
          <w:rFonts w:ascii="Cambria" w:hAnsi="Cambria"/>
          <w:sz w:val="22"/>
          <w:szCs w:val="22"/>
        </w:rPr>
      </w:pPr>
      <w:r w:rsidRPr="00B408B9">
        <w:rPr>
          <w:rFonts w:ascii="Cambria" w:hAnsi="Cambria"/>
          <w:sz w:val="22"/>
          <w:szCs w:val="22"/>
        </w:rPr>
        <w:t xml:space="preserve">The Agency also proposes removing from net family assets the value, in excess of the consideration received, </w:t>
      </w:r>
      <w:r w:rsidR="00455268">
        <w:rPr>
          <w:rFonts w:ascii="Cambria" w:hAnsi="Cambria"/>
          <w:sz w:val="22"/>
          <w:szCs w:val="22"/>
        </w:rPr>
        <w:t>of</w:t>
      </w:r>
      <w:r w:rsidR="00455268" w:rsidRPr="00B408B9">
        <w:rPr>
          <w:rFonts w:ascii="Cambria" w:hAnsi="Cambria"/>
          <w:sz w:val="22"/>
          <w:szCs w:val="22"/>
        </w:rPr>
        <w:t xml:space="preserve"> </w:t>
      </w:r>
      <w:r w:rsidRPr="00B408B9">
        <w:rPr>
          <w:rFonts w:ascii="Cambria" w:hAnsi="Cambria"/>
          <w:sz w:val="22"/>
          <w:szCs w:val="22"/>
        </w:rPr>
        <w:t xml:space="preserve">any business or household assets disposed of for less than the fair market value </w:t>
      </w:r>
      <w:r w:rsidR="002E6272">
        <w:rPr>
          <w:rFonts w:ascii="Cambria" w:hAnsi="Cambria"/>
          <w:sz w:val="22"/>
          <w:szCs w:val="22"/>
        </w:rPr>
        <w:t xml:space="preserve">(FMV) </w:t>
      </w:r>
      <w:r w:rsidRPr="00B408B9">
        <w:rPr>
          <w:rFonts w:ascii="Cambria" w:hAnsi="Cambria"/>
          <w:sz w:val="22"/>
          <w:szCs w:val="22"/>
        </w:rPr>
        <w:t xml:space="preserve">during the </w:t>
      </w:r>
      <w:r w:rsidR="00455268">
        <w:rPr>
          <w:rFonts w:ascii="Cambria" w:hAnsi="Cambria"/>
          <w:sz w:val="22"/>
          <w:szCs w:val="22"/>
        </w:rPr>
        <w:t>two</w:t>
      </w:r>
      <w:r w:rsidRPr="00B408B9">
        <w:rPr>
          <w:rFonts w:ascii="Cambria" w:hAnsi="Cambria"/>
          <w:sz w:val="22"/>
          <w:szCs w:val="22"/>
        </w:rPr>
        <w:t xml:space="preserve"> years preceding the income determination. The Agency states “that it is not productive or meaningful to consider assets which have been disposed of in the past.” </w:t>
      </w:r>
      <w:r w:rsidR="00EC5548">
        <w:rPr>
          <w:rFonts w:ascii="Cambria" w:hAnsi="Cambria"/>
          <w:sz w:val="22"/>
          <w:szCs w:val="22"/>
        </w:rPr>
        <w:t>HAC disagrees.</w:t>
      </w:r>
      <w:r w:rsidR="002E6272">
        <w:rPr>
          <w:rFonts w:ascii="Cambria" w:hAnsi="Cambria"/>
          <w:sz w:val="22"/>
          <w:szCs w:val="22"/>
        </w:rPr>
        <w:t xml:space="preserve"> A</w:t>
      </w:r>
      <w:r w:rsidR="00D037DC" w:rsidRPr="00B408B9">
        <w:rPr>
          <w:rFonts w:ascii="Cambria" w:hAnsi="Cambria"/>
          <w:sz w:val="22"/>
          <w:szCs w:val="22"/>
        </w:rPr>
        <w:t xml:space="preserve">ssets disposed of for less than FMV </w:t>
      </w:r>
      <w:r w:rsidR="009F37D6">
        <w:rPr>
          <w:rFonts w:ascii="Cambria" w:hAnsi="Cambria"/>
          <w:sz w:val="22"/>
          <w:szCs w:val="22"/>
        </w:rPr>
        <w:t xml:space="preserve">may indicate </w:t>
      </w:r>
      <w:r w:rsidR="00FC1F10">
        <w:rPr>
          <w:rFonts w:ascii="Cambria" w:hAnsi="Cambria"/>
          <w:sz w:val="22"/>
          <w:szCs w:val="22"/>
        </w:rPr>
        <w:t>that</w:t>
      </w:r>
      <w:r w:rsidR="00D037DC" w:rsidRPr="00B408B9">
        <w:rPr>
          <w:rFonts w:ascii="Cambria" w:hAnsi="Cambria"/>
          <w:sz w:val="22"/>
          <w:szCs w:val="22"/>
        </w:rPr>
        <w:t xml:space="preserve"> an applicant </w:t>
      </w:r>
      <w:r w:rsidR="009F37D6">
        <w:rPr>
          <w:rFonts w:ascii="Cambria" w:hAnsi="Cambria"/>
          <w:sz w:val="22"/>
          <w:szCs w:val="22"/>
        </w:rPr>
        <w:t xml:space="preserve">has </w:t>
      </w:r>
      <w:r w:rsidR="00D037DC" w:rsidRPr="00B408B9">
        <w:rPr>
          <w:rFonts w:ascii="Cambria" w:hAnsi="Cambria"/>
          <w:sz w:val="22"/>
          <w:szCs w:val="22"/>
        </w:rPr>
        <w:t>attempt</w:t>
      </w:r>
      <w:r w:rsidR="009F37D6">
        <w:rPr>
          <w:rFonts w:ascii="Cambria" w:hAnsi="Cambria"/>
          <w:sz w:val="22"/>
          <w:szCs w:val="22"/>
        </w:rPr>
        <w:t>ed</w:t>
      </w:r>
      <w:r w:rsidR="00D037DC" w:rsidRPr="00B408B9">
        <w:rPr>
          <w:rFonts w:ascii="Cambria" w:hAnsi="Cambria"/>
          <w:sz w:val="22"/>
          <w:szCs w:val="22"/>
        </w:rPr>
        <w:t xml:space="preserve"> to hide an asset </w:t>
      </w:r>
      <w:r w:rsidR="00DE5D0A" w:rsidRPr="00B408B9">
        <w:rPr>
          <w:rFonts w:ascii="Cambria" w:hAnsi="Cambria"/>
          <w:sz w:val="22"/>
          <w:szCs w:val="22"/>
        </w:rPr>
        <w:t>to</w:t>
      </w:r>
      <w:r w:rsidR="00D037DC" w:rsidRPr="00B408B9">
        <w:rPr>
          <w:rFonts w:ascii="Cambria" w:hAnsi="Cambria"/>
          <w:sz w:val="22"/>
          <w:szCs w:val="22"/>
        </w:rPr>
        <w:t xml:space="preserve"> qualify for payment subsidy assistance</w:t>
      </w:r>
      <w:r w:rsidR="001A213B">
        <w:rPr>
          <w:rFonts w:ascii="Cambria" w:hAnsi="Cambria"/>
          <w:sz w:val="22"/>
          <w:szCs w:val="22"/>
        </w:rPr>
        <w:t xml:space="preserve"> or to reduce</w:t>
      </w:r>
      <w:r w:rsidR="00AE4CDD">
        <w:rPr>
          <w:rFonts w:ascii="Cambria" w:hAnsi="Cambria"/>
          <w:sz w:val="22"/>
          <w:szCs w:val="22"/>
        </w:rPr>
        <w:t xml:space="preserve"> their required contribution to the home purchase</w:t>
      </w:r>
      <w:r w:rsidR="00D037DC" w:rsidRPr="00B408B9">
        <w:rPr>
          <w:rFonts w:ascii="Cambria" w:hAnsi="Cambria"/>
          <w:sz w:val="22"/>
          <w:szCs w:val="22"/>
        </w:rPr>
        <w:t>.</w:t>
      </w:r>
      <w:r w:rsidR="000C7F10" w:rsidRPr="00B408B9">
        <w:rPr>
          <w:rFonts w:ascii="Cambria" w:hAnsi="Cambria"/>
          <w:sz w:val="22"/>
          <w:szCs w:val="22"/>
        </w:rPr>
        <w:t xml:space="preserve"> </w:t>
      </w:r>
      <w:r w:rsidR="00FD18DC" w:rsidRPr="00B408B9">
        <w:rPr>
          <w:rFonts w:ascii="Cambria" w:hAnsi="Cambria"/>
          <w:sz w:val="22"/>
          <w:szCs w:val="22"/>
        </w:rPr>
        <w:t>T</w:t>
      </w:r>
      <w:r w:rsidRPr="00B408B9">
        <w:rPr>
          <w:rFonts w:ascii="Cambria" w:hAnsi="Cambria"/>
          <w:sz w:val="22"/>
          <w:szCs w:val="22"/>
        </w:rPr>
        <w:t xml:space="preserve">his provision is included to prevent an applicant from transferring assets to qualify for the program. This is a fraud prevention mechanism and </w:t>
      </w:r>
      <w:r w:rsidR="006042AB" w:rsidRPr="00B408B9">
        <w:rPr>
          <w:rFonts w:ascii="Cambria" w:hAnsi="Cambria"/>
          <w:sz w:val="22"/>
          <w:szCs w:val="22"/>
        </w:rPr>
        <w:t xml:space="preserve">we believe that </w:t>
      </w:r>
      <w:r w:rsidRPr="00B408B9">
        <w:rPr>
          <w:rFonts w:ascii="Cambria" w:hAnsi="Cambria"/>
          <w:sz w:val="22"/>
          <w:szCs w:val="22"/>
        </w:rPr>
        <w:t>the program integrity is not well served by removing it.</w:t>
      </w:r>
      <w:r w:rsidR="00B408B9" w:rsidRPr="00B408B9">
        <w:rPr>
          <w:rFonts w:ascii="Cambria" w:hAnsi="Cambria"/>
          <w:sz w:val="22"/>
          <w:szCs w:val="22"/>
        </w:rPr>
        <w:t xml:space="preserve">  </w:t>
      </w:r>
    </w:p>
    <w:p w14:paraId="031542A4" w14:textId="77777777" w:rsidR="00FE4219" w:rsidRDefault="00FE4219" w:rsidP="0082258A">
      <w:pPr>
        <w:rPr>
          <w:rFonts w:ascii="Cambria" w:hAnsi="Cambria"/>
          <w:sz w:val="22"/>
          <w:szCs w:val="22"/>
        </w:rPr>
      </w:pPr>
    </w:p>
    <w:p w14:paraId="61AA44A6" w14:textId="77777777" w:rsidR="001E58CE" w:rsidRPr="00B408B9" w:rsidRDefault="001E58CE" w:rsidP="0082258A">
      <w:pPr>
        <w:rPr>
          <w:rFonts w:ascii="Cambria" w:hAnsi="Cambria"/>
          <w:sz w:val="22"/>
          <w:szCs w:val="22"/>
        </w:rPr>
      </w:pPr>
    </w:p>
    <w:p w14:paraId="5C18818D" w14:textId="77777777" w:rsidR="00C171B1" w:rsidRPr="00B408B9" w:rsidRDefault="00C171B1" w:rsidP="0082258A">
      <w:pPr>
        <w:rPr>
          <w:rFonts w:ascii="Cambria" w:hAnsi="Cambria"/>
          <w:b/>
          <w:sz w:val="22"/>
          <w:szCs w:val="22"/>
        </w:rPr>
      </w:pPr>
      <w:r w:rsidRPr="00B408B9">
        <w:rPr>
          <w:rFonts w:ascii="Cambria" w:hAnsi="Cambria"/>
          <w:b/>
          <w:sz w:val="22"/>
          <w:szCs w:val="22"/>
        </w:rPr>
        <w:t xml:space="preserve">Area Loan Limits </w:t>
      </w:r>
    </w:p>
    <w:p w14:paraId="332EE89F" w14:textId="77777777" w:rsidR="00FE4219" w:rsidRPr="00B408B9" w:rsidRDefault="00FE4219" w:rsidP="0082258A">
      <w:pPr>
        <w:rPr>
          <w:rFonts w:ascii="Cambria" w:hAnsi="Cambria"/>
          <w:b/>
          <w:sz w:val="22"/>
          <w:szCs w:val="22"/>
        </w:rPr>
      </w:pPr>
    </w:p>
    <w:p w14:paraId="1CF530BA" w14:textId="1A42ABB1" w:rsidR="00C171B1" w:rsidRPr="00B408B9" w:rsidRDefault="00C81DB8" w:rsidP="0082258A">
      <w:pPr>
        <w:rPr>
          <w:rFonts w:ascii="Cambria" w:hAnsi="Cambria"/>
          <w:sz w:val="22"/>
          <w:szCs w:val="22"/>
        </w:rPr>
      </w:pPr>
      <w:r w:rsidRPr="00B408B9">
        <w:rPr>
          <w:rFonts w:ascii="Cambria" w:hAnsi="Cambria"/>
          <w:sz w:val="22"/>
          <w:szCs w:val="22"/>
        </w:rPr>
        <w:t>USDA</w:t>
      </w:r>
      <w:r w:rsidR="00C171B1" w:rsidRPr="00B408B9">
        <w:rPr>
          <w:rFonts w:ascii="Cambria" w:hAnsi="Cambria"/>
          <w:sz w:val="22"/>
          <w:szCs w:val="22"/>
        </w:rPr>
        <w:t xml:space="preserve"> proposes to revise its methodology to determine the area loan limits</w:t>
      </w:r>
      <w:r w:rsidR="00A2416D" w:rsidRPr="00B408B9">
        <w:rPr>
          <w:rFonts w:ascii="Cambria" w:hAnsi="Cambria"/>
          <w:sz w:val="22"/>
          <w:szCs w:val="22"/>
        </w:rPr>
        <w:t xml:space="preserve"> which set the maximum loan amount for each county</w:t>
      </w:r>
      <w:r w:rsidR="00C171B1" w:rsidRPr="00B408B9">
        <w:rPr>
          <w:rFonts w:ascii="Cambria" w:hAnsi="Cambria"/>
          <w:sz w:val="22"/>
          <w:szCs w:val="22"/>
        </w:rPr>
        <w:t xml:space="preserve">. </w:t>
      </w:r>
      <w:r w:rsidR="008910EA">
        <w:rPr>
          <w:rFonts w:ascii="Cambria" w:hAnsi="Cambria"/>
          <w:sz w:val="22"/>
          <w:szCs w:val="22"/>
        </w:rPr>
        <w:t>The current</w:t>
      </w:r>
      <w:r w:rsidR="00C171B1" w:rsidRPr="00B408B9">
        <w:rPr>
          <w:rFonts w:ascii="Cambria" w:hAnsi="Cambria"/>
          <w:sz w:val="22"/>
          <w:szCs w:val="22"/>
        </w:rPr>
        <w:t xml:space="preserve"> process </w:t>
      </w:r>
      <w:r w:rsidR="003A4317">
        <w:rPr>
          <w:rFonts w:ascii="Cambria" w:hAnsi="Cambria"/>
          <w:sz w:val="22"/>
          <w:szCs w:val="22"/>
        </w:rPr>
        <w:t xml:space="preserve">bases the area </w:t>
      </w:r>
      <w:r w:rsidR="00A00936">
        <w:rPr>
          <w:rFonts w:ascii="Cambria" w:hAnsi="Cambria"/>
          <w:sz w:val="22"/>
          <w:szCs w:val="22"/>
        </w:rPr>
        <w:t>loan limit</w:t>
      </w:r>
      <w:r w:rsidR="008910EA">
        <w:rPr>
          <w:rFonts w:ascii="Cambria" w:hAnsi="Cambria"/>
          <w:sz w:val="22"/>
          <w:szCs w:val="22"/>
        </w:rPr>
        <w:t xml:space="preserve"> </w:t>
      </w:r>
      <w:r w:rsidR="001511AB">
        <w:rPr>
          <w:rFonts w:ascii="Cambria" w:hAnsi="Cambria"/>
          <w:sz w:val="22"/>
          <w:szCs w:val="22"/>
        </w:rPr>
        <w:t xml:space="preserve">on an estimate of </w:t>
      </w:r>
      <w:r w:rsidR="00C171B1" w:rsidRPr="00B408B9">
        <w:rPr>
          <w:rFonts w:ascii="Cambria" w:hAnsi="Cambria"/>
          <w:sz w:val="22"/>
          <w:szCs w:val="22"/>
        </w:rPr>
        <w:t>the cost to build a home on a modest lot</w:t>
      </w:r>
      <w:r w:rsidR="008910EA">
        <w:rPr>
          <w:rFonts w:ascii="Cambria" w:hAnsi="Cambria"/>
          <w:sz w:val="22"/>
          <w:szCs w:val="22"/>
        </w:rPr>
        <w:t xml:space="preserve">. The proposed change </w:t>
      </w:r>
      <w:r w:rsidR="00C171B1" w:rsidRPr="00B408B9">
        <w:rPr>
          <w:rFonts w:ascii="Cambria" w:hAnsi="Cambria"/>
          <w:sz w:val="22"/>
          <w:szCs w:val="22"/>
        </w:rPr>
        <w:t>us</w:t>
      </w:r>
      <w:r w:rsidR="008910EA">
        <w:rPr>
          <w:rFonts w:ascii="Cambria" w:hAnsi="Cambria"/>
          <w:sz w:val="22"/>
          <w:szCs w:val="22"/>
        </w:rPr>
        <w:t>e</w:t>
      </w:r>
      <w:r w:rsidR="001511AB">
        <w:rPr>
          <w:rFonts w:ascii="Cambria" w:hAnsi="Cambria"/>
          <w:sz w:val="22"/>
          <w:szCs w:val="22"/>
        </w:rPr>
        <w:t>s</w:t>
      </w:r>
      <w:r w:rsidR="00C171B1" w:rsidRPr="00B408B9">
        <w:rPr>
          <w:rFonts w:ascii="Cambria" w:hAnsi="Cambria"/>
          <w:sz w:val="22"/>
          <w:szCs w:val="22"/>
        </w:rPr>
        <w:t xml:space="preserve"> a percentage of the </w:t>
      </w:r>
      <w:r w:rsidR="001511AB" w:rsidRPr="00B408B9">
        <w:rPr>
          <w:rFonts w:ascii="Cambria" w:hAnsi="Cambria"/>
          <w:sz w:val="22"/>
          <w:szCs w:val="22"/>
        </w:rPr>
        <w:t>FHA Forward One-Family mortgage limits (formerly known as the HUD 203(b) limit).</w:t>
      </w:r>
      <w:r w:rsidR="001511AB">
        <w:rPr>
          <w:rFonts w:ascii="Cambria" w:hAnsi="Cambria"/>
          <w:sz w:val="22"/>
          <w:szCs w:val="22"/>
        </w:rPr>
        <w:t xml:space="preserve"> </w:t>
      </w:r>
      <w:r w:rsidR="00C171B1" w:rsidRPr="00B408B9">
        <w:rPr>
          <w:rFonts w:ascii="Cambria" w:hAnsi="Cambria"/>
          <w:sz w:val="22"/>
          <w:szCs w:val="22"/>
        </w:rPr>
        <w:t xml:space="preserve"> The Agency </w:t>
      </w:r>
      <w:r w:rsidR="001511AB">
        <w:rPr>
          <w:rFonts w:ascii="Cambria" w:hAnsi="Cambria"/>
          <w:sz w:val="22"/>
          <w:szCs w:val="22"/>
        </w:rPr>
        <w:t>states</w:t>
      </w:r>
      <w:r w:rsidR="00C171B1" w:rsidRPr="00B408B9">
        <w:rPr>
          <w:rFonts w:ascii="Cambria" w:hAnsi="Cambria"/>
          <w:sz w:val="22"/>
          <w:szCs w:val="22"/>
        </w:rPr>
        <w:t xml:space="preserve"> that </w:t>
      </w:r>
      <w:r w:rsidR="00AF5D6E">
        <w:rPr>
          <w:rFonts w:ascii="Cambria" w:hAnsi="Cambria"/>
          <w:sz w:val="22"/>
          <w:szCs w:val="22"/>
        </w:rPr>
        <w:t xml:space="preserve">the </w:t>
      </w:r>
      <w:r w:rsidR="00C171B1" w:rsidRPr="00B408B9">
        <w:rPr>
          <w:rFonts w:ascii="Cambria" w:hAnsi="Cambria"/>
          <w:sz w:val="22"/>
          <w:szCs w:val="22"/>
        </w:rPr>
        <w:t xml:space="preserve">current process uses overly restrictive nationalized parameters and requires a significant amount of staff time on all levels (field, state, and national). </w:t>
      </w:r>
      <w:r w:rsidR="001511AB">
        <w:rPr>
          <w:rFonts w:ascii="Cambria" w:hAnsi="Cambria"/>
          <w:sz w:val="22"/>
          <w:szCs w:val="22"/>
        </w:rPr>
        <w:t xml:space="preserve"> However, t</w:t>
      </w:r>
      <w:r w:rsidR="00C171B1" w:rsidRPr="00B408B9">
        <w:rPr>
          <w:rFonts w:ascii="Cambria" w:hAnsi="Cambria"/>
          <w:sz w:val="22"/>
          <w:szCs w:val="22"/>
        </w:rPr>
        <w:t xml:space="preserve">he Agency </w:t>
      </w:r>
      <w:r w:rsidR="001511AB">
        <w:rPr>
          <w:rFonts w:ascii="Cambria" w:hAnsi="Cambria"/>
          <w:sz w:val="22"/>
          <w:szCs w:val="22"/>
        </w:rPr>
        <w:t xml:space="preserve">does not </w:t>
      </w:r>
      <w:r w:rsidR="00C171B1" w:rsidRPr="00B408B9">
        <w:rPr>
          <w:rFonts w:ascii="Cambria" w:hAnsi="Cambria"/>
          <w:sz w:val="22"/>
          <w:szCs w:val="22"/>
        </w:rPr>
        <w:t xml:space="preserve">explain how the current </w:t>
      </w:r>
      <w:r w:rsidR="00A00936" w:rsidRPr="00B408B9">
        <w:rPr>
          <w:rFonts w:ascii="Cambria" w:hAnsi="Cambria"/>
          <w:sz w:val="22"/>
          <w:szCs w:val="22"/>
        </w:rPr>
        <w:t>process is</w:t>
      </w:r>
      <w:r w:rsidR="00C171B1" w:rsidRPr="00B408B9">
        <w:rPr>
          <w:rFonts w:ascii="Cambria" w:hAnsi="Cambria"/>
          <w:sz w:val="22"/>
          <w:szCs w:val="22"/>
        </w:rPr>
        <w:t xml:space="preserve"> overly restrictive. </w:t>
      </w:r>
      <w:r w:rsidR="00AF5D6E">
        <w:rPr>
          <w:rFonts w:ascii="Cambria" w:hAnsi="Cambria"/>
          <w:sz w:val="22"/>
          <w:szCs w:val="22"/>
        </w:rPr>
        <w:t>This may be the case</w:t>
      </w:r>
      <w:r w:rsidR="0035238B">
        <w:rPr>
          <w:rFonts w:ascii="Cambria" w:hAnsi="Cambria"/>
          <w:sz w:val="22"/>
          <w:szCs w:val="22"/>
        </w:rPr>
        <w:t xml:space="preserve"> but without explanation of how the current method restricts loan making, it is difficult to understand how this should be changed. </w:t>
      </w:r>
    </w:p>
    <w:p w14:paraId="055B1050" w14:textId="77777777" w:rsidR="00FE4219" w:rsidRPr="00B408B9" w:rsidRDefault="00FE4219" w:rsidP="0082258A">
      <w:pPr>
        <w:rPr>
          <w:rFonts w:ascii="Cambria" w:hAnsi="Cambria"/>
          <w:sz w:val="22"/>
          <w:szCs w:val="22"/>
        </w:rPr>
      </w:pPr>
    </w:p>
    <w:p w14:paraId="118D7E25" w14:textId="496B3797" w:rsidR="00C171B1" w:rsidRPr="00B408B9" w:rsidRDefault="00C171B1" w:rsidP="0082258A">
      <w:pPr>
        <w:rPr>
          <w:rFonts w:ascii="Cambria" w:hAnsi="Cambria"/>
          <w:sz w:val="22"/>
          <w:szCs w:val="22"/>
        </w:rPr>
      </w:pPr>
      <w:r w:rsidRPr="00B408B9">
        <w:rPr>
          <w:rFonts w:ascii="Cambria" w:hAnsi="Cambria"/>
          <w:sz w:val="22"/>
          <w:szCs w:val="22"/>
        </w:rPr>
        <w:t xml:space="preserve">The Agency tested </w:t>
      </w:r>
      <w:r w:rsidR="001511AB">
        <w:rPr>
          <w:rFonts w:ascii="Cambria" w:hAnsi="Cambria"/>
          <w:sz w:val="22"/>
          <w:szCs w:val="22"/>
        </w:rPr>
        <w:t xml:space="preserve">its proposed </w:t>
      </w:r>
      <w:r w:rsidRPr="00B408B9">
        <w:rPr>
          <w:rFonts w:ascii="Cambria" w:hAnsi="Cambria"/>
          <w:sz w:val="22"/>
          <w:szCs w:val="22"/>
        </w:rPr>
        <w:t>alternate methodology</w:t>
      </w:r>
      <w:r w:rsidR="001511AB">
        <w:rPr>
          <w:rFonts w:ascii="Cambria" w:hAnsi="Cambria"/>
          <w:sz w:val="22"/>
          <w:szCs w:val="22"/>
        </w:rPr>
        <w:t xml:space="preserve">. </w:t>
      </w:r>
      <w:r w:rsidRPr="00B408B9">
        <w:rPr>
          <w:rFonts w:ascii="Cambria" w:hAnsi="Cambria"/>
          <w:sz w:val="22"/>
          <w:szCs w:val="22"/>
        </w:rPr>
        <w:t xml:space="preserve">Under the pilot, 80 percent of the </w:t>
      </w:r>
      <w:r w:rsidR="001511AB">
        <w:rPr>
          <w:rFonts w:ascii="Cambria" w:hAnsi="Cambria"/>
          <w:sz w:val="22"/>
          <w:szCs w:val="22"/>
        </w:rPr>
        <w:t xml:space="preserve">FHA Forward One-Family loan </w:t>
      </w:r>
      <w:r w:rsidRPr="00B408B9">
        <w:rPr>
          <w:rFonts w:ascii="Cambria" w:hAnsi="Cambria"/>
          <w:sz w:val="22"/>
          <w:szCs w:val="22"/>
        </w:rPr>
        <w:t>limit was used.</w:t>
      </w:r>
      <w:r w:rsidR="00B408B9" w:rsidRPr="00B408B9">
        <w:rPr>
          <w:rFonts w:ascii="Cambria" w:hAnsi="Cambria"/>
          <w:sz w:val="22"/>
          <w:szCs w:val="22"/>
        </w:rPr>
        <w:t xml:space="preserve">  </w:t>
      </w:r>
      <w:r w:rsidR="00AF5D6E">
        <w:rPr>
          <w:rFonts w:ascii="Cambria" w:hAnsi="Cambria"/>
          <w:sz w:val="22"/>
          <w:szCs w:val="22"/>
        </w:rPr>
        <w:t xml:space="preserve">It should be noted </w:t>
      </w:r>
      <w:r w:rsidR="00B47746" w:rsidRPr="00B408B9">
        <w:rPr>
          <w:rFonts w:ascii="Cambria" w:hAnsi="Cambria"/>
          <w:sz w:val="22"/>
          <w:szCs w:val="22"/>
        </w:rPr>
        <w:t xml:space="preserve">that the </w:t>
      </w:r>
      <w:r w:rsidR="006F1586" w:rsidRPr="00B408B9">
        <w:rPr>
          <w:rFonts w:ascii="Cambria" w:hAnsi="Cambria"/>
          <w:sz w:val="22"/>
          <w:szCs w:val="22"/>
        </w:rPr>
        <w:t>FHA loan limits are based on housing costs</w:t>
      </w:r>
      <w:r w:rsidR="00374699" w:rsidRPr="00B408B9">
        <w:rPr>
          <w:rFonts w:ascii="Cambria" w:hAnsi="Cambria"/>
          <w:sz w:val="22"/>
          <w:szCs w:val="22"/>
        </w:rPr>
        <w:t xml:space="preserve"> only in high cost areas. </w:t>
      </w:r>
      <w:r w:rsidR="001511AB">
        <w:rPr>
          <w:rFonts w:ascii="Cambria" w:hAnsi="Cambria"/>
          <w:sz w:val="22"/>
          <w:szCs w:val="22"/>
        </w:rPr>
        <w:t xml:space="preserve">FHA’s </w:t>
      </w:r>
      <w:r w:rsidR="000B6453" w:rsidRPr="00B408B9">
        <w:rPr>
          <w:rFonts w:ascii="Cambria" w:hAnsi="Cambria"/>
          <w:sz w:val="22"/>
          <w:szCs w:val="22"/>
        </w:rPr>
        <w:t>“</w:t>
      </w:r>
      <w:r w:rsidR="001511AB">
        <w:rPr>
          <w:rFonts w:ascii="Cambria" w:hAnsi="Cambria"/>
          <w:sz w:val="22"/>
          <w:szCs w:val="22"/>
        </w:rPr>
        <w:t>l</w:t>
      </w:r>
      <w:r w:rsidR="000B6453" w:rsidRPr="00B408B9">
        <w:rPr>
          <w:rFonts w:ascii="Cambria" w:hAnsi="Cambria"/>
          <w:sz w:val="22"/>
          <w:szCs w:val="22"/>
        </w:rPr>
        <w:t xml:space="preserve">ow cost” area loan limits are based on a </w:t>
      </w:r>
      <w:r w:rsidR="00FD30ED" w:rsidRPr="00B408B9">
        <w:rPr>
          <w:rFonts w:ascii="Cambria" w:hAnsi="Cambria"/>
          <w:sz w:val="22"/>
          <w:szCs w:val="22"/>
        </w:rPr>
        <w:t>“</w:t>
      </w:r>
      <w:r w:rsidR="000B6453" w:rsidRPr="00B408B9">
        <w:rPr>
          <w:rFonts w:ascii="Cambria" w:hAnsi="Cambria"/>
          <w:sz w:val="22"/>
          <w:szCs w:val="22"/>
        </w:rPr>
        <w:t xml:space="preserve">national </w:t>
      </w:r>
      <w:r w:rsidR="00FD30ED" w:rsidRPr="00B408B9">
        <w:rPr>
          <w:rFonts w:ascii="Cambria" w:hAnsi="Cambria"/>
          <w:sz w:val="22"/>
          <w:szCs w:val="22"/>
        </w:rPr>
        <w:t>conforming limit</w:t>
      </w:r>
      <w:r w:rsidR="00057E8B">
        <w:rPr>
          <w:rFonts w:ascii="Cambria" w:hAnsi="Cambria"/>
          <w:sz w:val="22"/>
          <w:szCs w:val="22"/>
        </w:rPr>
        <w:t>”</w:t>
      </w:r>
      <w:r w:rsidR="00F16837" w:rsidRPr="00B408B9">
        <w:rPr>
          <w:rStyle w:val="FootnoteReference"/>
          <w:rFonts w:ascii="Cambria" w:hAnsi="Cambria"/>
          <w:sz w:val="22"/>
          <w:szCs w:val="22"/>
        </w:rPr>
        <w:footnoteReference w:id="4"/>
      </w:r>
      <w:r w:rsidR="00FD30ED" w:rsidRPr="00B408B9">
        <w:rPr>
          <w:rFonts w:ascii="Cambria" w:hAnsi="Cambria"/>
          <w:sz w:val="22"/>
          <w:szCs w:val="22"/>
        </w:rPr>
        <w:t xml:space="preserve"> </w:t>
      </w:r>
      <w:r w:rsidR="00F73FCC" w:rsidRPr="00B408B9">
        <w:rPr>
          <w:rFonts w:ascii="Cambria" w:hAnsi="Cambria"/>
          <w:sz w:val="22"/>
          <w:szCs w:val="22"/>
        </w:rPr>
        <w:t>and bear little relationship to local housing costs.</w:t>
      </w:r>
      <w:r w:rsidR="00F73FCC" w:rsidRPr="00B408B9">
        <w:rPr>
          <w:rStyle w:val="FootnoteReference"/>
          <w:rFonts w:ascii="Cambria" w:hAnsi="Cambria"/>
          <w:sz w:val="22"/>
          <w:szCs w:val="22"/>
        </w:rPr>
        <w:footnoteReference w:id="5"/>
      </w:r>
      <w:r w:rsidR="00AE4CDD">
        <w:rPr>
          <w:rFonts w:ascii="Cambria" w:hAnsi="Cambria"/>
          <w:sz w:val="22"/>
          <w:szCs w:val="22"/>
        </w:rPr>
        <w:t xml:space="preserve"> HAC questions how this is more reliable data for establishing area loan limits for a subsidized loan program. </w:t>
      </w:r>
    </w:p>
    <w:p w14:paraId="7C2D03F1" w14:textId="77777777" w:rsidR="00FE4219" w:rsidRPr="00B408B9" w:rsidRDefault="00FE4219" w:rsidP="0082258A">
      <w:pPr>
        <w:rPr>
          <w:rFonts w:ascii="Cambria" w:hAnsi="Cambria"/>
          <w:sz w:val="22"/>
          <w:szCs w:val="22"/>
        </w:rPr>
      </w:pPr>
    </w:p>
    <w:p w14:paraId="4931B8D4" w14:textId="2362F0BD" w:rsidR="00F51238" w:rsidRPr="00B408B9" w:rsidRDefault="00C171B1" w:rsidP="00F51238">
      <w:pPr>
        <w:rPr>
          <w:rFonts w:ascii="Cambria" w:hAnsi="Cambria"/>
          <w:sz w:val="22"/>
          <w:szCs w:val="22"/>
        </w:rPr>
      </w:pPr>
      <w:r w:rsidRPr="00B408B9">
        <w:rPr>
          <w:rFonts w:ascii="Cambria" w:hAnsi="Cambria"/>
          <w:sz w:val="22"/>
          <w:szCs w:val="22"/>
        </w:rPr>
        <w:t xml:space="preserve">The Agency notes that the pilot states generally experienced increases in their area loan limits but </w:t>
      </w:r>
      <w:r w:rsidR="0035238B">
        <w:rPr>
          <w:rFonts w:ascii="Cambria" w:hAnsi="Cambria"/>
          <w:sz w:val="22"/>
          <w:szCs w:val="22"/>
        </w:rPr>
        <w:t xml:space="preserve">suggests </w:t>
      </w:r>
      <w:r w:rsidRPr="00B408B9">
        <w:rPr>
          <w:rFonts w:ascii="Cambria" w:hAnsi="Cambria"/>
          <w:sz w:val="22"/>
          <w:szCs w:val="22"/>
        </w:rPr>
        <w:t>that the increases were not significant, in part because an applicant's qualification amount continues to be limited based on repayment ability, property eligibility criteria (for example, properties financed through the program are currently subject to 2,000 square feet), and other factors. Average loan amounts in the pilot states increased 13.4 percent from Fiscal Year 2015 to 2017, while average loan amounts in the non-pilot states increased 5.4 percent during the same period.</w:t>
      </w:r>
      <w:r w:rsidR="00155163" w:rsidRPr="00B408B9">
        <w:rPr>
          <w:rFonts w:ascii="Cambria" w:hAnsi="Cambria"/>
          <w:sz w:val="22"/>
          <w:szCs w:val="22"/>
        </w:rPr>
        <w:t xml:space="preserve"> </w:t>
      </w:r>
      <w:r w:rsidR="00595527" w:rsidRPr="00B408B9">
        <w:rPr>
          <w:rFonts w:ascii="Cambria" w:hAnsi="Cambria"/>
          <w:sz w:val="22"/>
          <w:szCs w:val="22"/>
        </w:rPr>
        <w:t>Since 201</w:t>
      </w:r>
      <w:r w:rsidR="0052071C" w:rsidRPr="00B408B9">
        <w:rPr>
          <w:rFonts w:ascii="Cambria" w:hAnsi="Cambria"/>
          <w:sz w:val="22"/>
          <w:szCs w:val="22"/>
        </w:rPr>
        <w:t>2</w:t>
      </w:r>
      <w:r w:rsidR="00826761" w:rsidRPr="00B408B9">
        <w:rPr>
          <w:rFonts w:ascii="Cambria" w:hAnsi="Cambria"/>
          <w:sz w:val="22"/>
          <w:szCs w:val="22"/>
        </w:rPr>
        <w:t xml:space="preserve">, the </w:t>
      </w:r>
      <w:r w:rsidR="0052071C" w:rsidRPr="00B408B9">
        <w:rPr>
          <w:rFonts w:ascii="Cambria" w:hAnsi="Cambria"/>
          <w:sz w:val="22"/>
          <w:szCs w:val="22"/>
        </w:rPr>
        <w:t xml:space="preserve">year over year increase in average loan amount ranged from </w:t>
      </w:r>
      <w:r w:rsidR="00E84281" w:rsidRPr="00B408B9">
        <w:rPr>
          <w:rFonts w:ascii="Cambria" w:hAnsi="Cambria"/>
          <w:sz w:val="22"/>
          <w:szCs w:val="22"/>
        </w:rPr>
        <w:t>2.3 to 6.1 percent</w:t>
      </w:r>
      <w:r w:rsidR="004F5B98" w:rsidRPr="00B408B9">
        <w:rPr>
          <w:rFonts w:ascii="Cambria" w:hAnsi="Cambria"/>
          <w:sz w:val="22"/>
          <w:szCs w:val="22"/>
        </w:rPr>
        <w:t xml:space="preserve"> for the Section 502 Direct loan program. The range over the same period</w:t>
      </w:r>
      <w:r w:rsidR="004E610F" w:rsidRPr="00B408B9">
        <w:rPr>
          <w:rFonts w:ascii="Cambria" w:hAnsi="Cambria"/>
          <w:sz w:val="22"/>
          <w:szCs w:val="22"/>
        </w:rPr>
        <w:t xml:space="preserve"> was </w:t>
      </w:r>
      <w:r w:rsidR="00EE06AB" w:rsidRPr="00B408B9">
        <w:rPr>
          <w:rFonts w:ascii="Cambria" w:hAnsi="Cambria"/>
          <w:sz w:val="22"/>
          <w:szCs w:val="22"/>
        </w:rPr>
        <w:t xml:space="preserve">-0.7 to 3.6 percent for the Section 502 Guaranteed loan program. </w:t>
      </w:r>
      <w:r w:rsidR="00F51238">
        <w:rPr>
          <w:rFonts w:ascii="Cambria" w:hAnsi="Cambria"/>
          <w:sz w:val="22"/>
          <w:szCs w:val="22"/>
        </w:rPr>
        <w:t xml:space="preserve"> </w:t>
      </w:r>
      <w:r w:rsidR="00DF2459">
        <w:rPr>
          <w:rFonts w:ascii="Cambria" w:hAnsi="Cambria"/>
          <w:sz w:val="22"/>
          <w:szCs w:val="22"/>
        </w:rPr>
        <w:t xml:space="preserve">Average loan amounts are increasing faster under the Direct loan program than the </w:t>
      </w:r>
      <w:r w:rsidR="00A00936">
        <w:rPr>
          <w:rFonts w:ascii="Cambria" w:hAnsi="Cambria"/>
          <w:sz w:val="22"/>
          <w:szCs w:val="22"/>
        </w:rPr>
        <w:t>Guaranteed</w:t>
      </w:r>
      <w:r w:rsidR="00DF2459">
        <w:rPr>
          <w:rFonts w:ascii="Cambria" w:hAnsi="Cambria"/>
          <w:sz w:val="22"/>
          <w:szCs w:val="22"/>
        </w:rPr>
        <w:t xml:space="preserve"> loan program. </w:t>
      </w:r>
      <w:r w:rsidR="00F51238" w:rsidRPr="00B408B9">
        <w:rPr>
          <w:rFonts w:ascii="Cambria" w:hAnsi="Cambria"/>
          <w:sz w:val="22"/>
          <w:szCs w:val="22"/>
        </w:rPr>
        <w:t xml:space="preserve">As of the end of August 2018, the average direct loan was $152,290, significantly higher than the average guaranteed loan (which is not a subsidized loan) of $145,169. </w:t>
      </w:r>
      <w:r w:rsidR="00AE4CDD">
        <w:rPr>
          <w:rFonts w:ascii="Cambria" w:hAnsi="Cambria"/>
          <w:sz w:val="22"/>
          <w:szCs w:val="22"/>
        </w:rPr>
        <w:t xml:space="preserve">The average direct loan to </w:t>
      </w:r>
      <w:r w:rsidR="00AE4CDD">
        <w:rPr>
          <w:rFonts w:ascii="Cambria" w:hAnsi="Cambria"/>
          <w:sz w:val="22"/>
          <w:szCs w:val="22"/>
        </w:rPr>
        <w:lastRenderedPageBreak/>
        <w:t xml:space="preserve">a low-income borrower was $163,374 while the average loan to a very low-income borrower was $133,975. </w:t>
      </w:r>
    </w:p>
    <w:p w14:paraId="3A9087E2" w14:textId="77777777" w:rsidR="00FE4219" w:rsidRPr="00B408B9" w:rsidRDefault="00FE4219" w:rsidP="0082258A">
      <w:pPr>
        <w:rPr>
          <w:rFonts w:ascii="Cambria" w:hAnsi="Cambria"/>
          <w:sz w:val="22"/>
          <w:szCs w:val="22"/>
        </w:rPr>
      </w:pPr>
    </w:p>
    <w:p w14:paraId="55B9B96C" w14:textId="733FE9B5" w:rsidR="00C171B1" w:rsidRPr="00B408B9" w:rsidRDefault="00066BAB" w:rsidP="0082258A">
      <w:pPr>
        <w:rPr>
          <w:rFonts w:ascii="Cambria" w:hAnsi="Cambria"/>
          <w:sz w:val="22"/>
          <w:szCs w:val="22"/>
        </w:rPr>
      </w:pPr>
      <w:r w:rsidRPr="00B408B9">
        <w:rPr>
          <w:rFonts w:ascii="Cambria" w:hAnsi="Cambria"/>
          <w:sz w:val="22"/>
          <w:szCs w:val="22"/>
        </w:rPr>
        <w:t>The Agency provided n</w:t>
      </w:r>
      <w:r w:rsidR="00C171B1" w:rsidRPr="00B408B9">
        <w:rPr>
          <w:rFonts w:ascii="Cambria" w:hAnsi="Cambria"/>
          <w:sz w:val="22"/>
          <w:szCs w:val="22"/>
        </w:rPr>
        <w:t>o information on number of new homes financed</w:t>
      </w:r>
      <w:r w:rsidR="00B408B9" w:rsidRPr="00B408B9">
        <w:rPr>
          <w:rFonts w:ascii="Cambria" w:hAnsi="Cambria"/>
          <w:sz w:val="22"/>
          <w:szCs w:val="22"/>
        </w:rPr>
        <w:t xml:space="preserve">, </w:t>
      </w:r>
      <w:r w:rsidR="00C171B1" w:rsidRPr="00B408B9">
        <w:rPr>
          <w:rFonts w:ascii="Cambria" w:hAnsi="Cambria"/>
          <w:sz w:val="22"/>
          <w:szCs w:val="22"/>
        </w:rPr>
        <w:t>how that compares to previous years</w:t>
      </w:r>
      <w:r w:rsidR="00B408B9" w:rsidRPr="00B408B9">
        <w:rPr>
          <w:rFonts w:ascii="Cambria" w:hAnsi="Cambria"/>
          <w:sz w:val="22"/>
          <w:szCs w:val="22"/>
        </w:rPr>
        <w:t xml:space="preserve"> or why the FHA Forward loan limits are more appropriate (other than </w:t>
      </w:r>
      <w:r w:rsidR="008938A0">
        <w:rPr>
          <w:rFonts w:ascii="Cambria" w:hAnsi="Cambria"/>
          <w:sz w:val="22"/>
          <w:szCs w:val="22"/>
        </w:rPr>
        <w:t xml:space="preserve">that </w:t>
      </w:r>
      <w:r w:rsidR="00B408B9" w:rsidRPr="00B408B9">
        <w:rPr>
          <w:rFonts w:ascii="Cambria" w:hAnsi="Cambria"/>
          <w:sz w:val="22"/>
          <w:szCs w:val="22"/>
        </w:rPr>
        <w:t>the amounts are higher) for new construction than the existing methodology</w:t>
      </w:r>
      <w:r w:rsidR="00C171B1" w:rsidRPr="00B408B9">
        <w:rPr>
          <w:rFonts w:ascii="Cambria" w:hAnsi="Cambria"/>
          <w:sz w:val="22"/>
          <w:szCs w:val="22"/>
        </w:rPr>
        <w:t>.</w:t>
      </w:r>
      <w:r w:rsidR="00B408B9" w:rsidRPr="00B408B9">
        <w:rPr>
          <w:rFonts w:ascii="Cambria" w:hAnsi="Cambria"/>
          <w:sz w:val="22"/>
          <w:szCs w:val="22"/>
        </w:rPr>
        <w:t xml:space="preserve">  </w:t>
      </w:r>
      <w:r w:rsidR="00F645D8">
        <w:rPr>
          <w:rFonts w:ascii="Cambria" w:hAnsi="Cambria"/>
          <w:sz w:val="22"/>
          <w:szCs w:val="22"/>
        </w:rPr>
        <w:t>While it may be that</w:t>
      </w:r>
      <w:r w:rsidR="00F645D8" w:rsidRPr="00B408B9">
        <w:rPr>
          <w:rFonts w:ascii="Cambria" w:hAnsi="Cambria"/>
          <w:sz w:val="22"/>
          <w:szCs w:val="22"/>
        </w:rPr>
        <w:t xml:space="preserve"> the higher percent increase in the pilot states is acceptable because the alternate methodology makes new construction under the program more feasible</w:t>
      </w:r>
      <w:r w:rsidR="00F645D8">
        <w:rPr>
          <w:rFonts w:ascii="Cambria" w:hAnsi="Cambria"/>
          <w:sz w:val="22"/>
          <w:szCs w:val="22"/>
        </w:rPr>
        <w:t>, t</w:t>
      </w:r>
      <w:r w:rsidR="00F645D8" w:rsidRPr="00B408B9">
        <w:rPr>
          <w:rFonts w:ascii="Cambria" w:hAnsi="Cambria"/>
          <w:sz w:val="22"/>
          <w:szCs w:val="22"/>
        </w:rPr>
        <w:t>he existing method was already based on the cost of building a modest home.</w:t>
      </w:r>
      <w:r w:rsidR="008A699A">
        <w:rPr>
          <w:rFonts w:ascii="Cambria" w:hAnsi="Cambria"/>
          <w:sz w:val="22"/>
          <w:szCs w:val="22"/>
        </w:rPr>
        <w:t xml:space="preserve"> </w:t>
      </w:r>
    </w:p>
    <w:p w14:paraId="510B59A5" w14:textId="77777777" w:rsidR="00FE4219" w:rsidRPr="00B408B9" w:rsidRDefault="00FE4219" w:rsidP="0082258A">
      <w:pPr>
        <w:rPr>
          <w:rFonts w:ascii="Cambria" w:hAnsi="Cambria"/>
          <w:sz w:val="22"/>
          <w:szCs w:val="22"/>
        </w:rPr>
      </w:pPr>
    </w:p>
    <w:p w14:paraId="6B9138FF" w14:textId="07BBAA22" w:rsidR="00FE4219" w:rsidRDefault="00C171B1" w:rsidP="0082258A">
      <w:pPr>
        <w:rPr>
          <w:rFonts w:ascii="Cambria" w:hAnsi="Cambria"/>
          <w:sz w:val="22"/>
          <w:szCs w:val="22"/>
        </w:rPr>
      </w:pPr>
      <w:r w:rsidRPr="00B408B9">
        <w:rPr>
          <w:rFonts w:ascii="Cambria" w:hAnsi="Cambria"/>
          <w:sz w:val="22"/>
          <w:szCs w:val="22"/>
        </w:rPr>
        <w:t>HAC reviewed the FY 2018 FHA Forward loan limits.</w:t>
      </w:r>
      <w:r w:rsidR="000C7F10" w:rsidRPr="00B408B9">
        <w:rPr>
          <w:rFonts w:ascii="Cambria" w:hAnsi="Cambria"/>
          <w:sz w:val="22"/>
          <w:szCs w:val="22"/>
        </w:rPr>
        <w:t xml:space="preserve"> </w:t>
      </w:r>
      <w:r w:rsidRPr="00B408B9">
        <w:rPr>
          <w:rFonts w:ascii="Cambria" w:hAnsi="Cambria"/>
          <w:sz w:val="22"/>
          <w:szCs w:val="22"/>
        </w:rPr>
        <w:t xml:space="preserve">The limits </w:t>
      </w:r>
      <w:r w:rsidR="007523DE" w:rsidRPr="00B408B9">
        <w:rPr>
          <w:rFonts w:ascii="Cambria" w:hAnsi="Cambria"/>
          <w:sz w:val="22"/>
          <w:szCs w:val="22"/>
        </w:rPr>
        <w:t xml:space="preserve">range from </w:t>
      </w:r>
      <w:r w:rsidRPr="00B408B9">
        <w:rPr>
          <w:rFonts w:ascii="Cambria" w:hAnsi="Cambria"/>
          <w:sz w:val="22"/>
          <w:szCs w:val="22"/>
        </w:rPr>
        <w:t>$294,515 (the national loan limit) to a maximum of $679,650. The FHA Forward loan limit tables also include median home sale prices for single unit dwellings.</w:t>
      </w:r>
      <w:r w:rsidR="000C7F10" w:rsidRPr="00B408B9">
        <w:rPr>
          <w:rFonts w:ascii="Cambria" w:hAnsi="Cambria"/>
          <w:sz w:val="22"/>
          <w:szCs w:val="22"/>
        </w:rPr>
        <w:t xml:space="preserve"> </w:t>
      </w:r>
      <w:r w:rsidRPr="00B408B9">
        <w:rPr>
          <w:rFonts w:ascii="Cambria" w:hAnsi="Cambria"/>
          <w:sz w:val="22"/>
          <w:szCs w:val="22"/>
        </w:rPr>
        <w:t xml:space="preserve">HAC notes that the average of the median sale prices in the table </w:t>
      </w:r>
      <w:r w:rsidR="00FC5237">
        <w:rPr>
          <w:rFonts w:ascii="Cambria" w:hAnsi="Cambria"/>
          <w:sz w:val="22"/>
          <w:szCs w:val="22"/>
        </w:rPr>
        <w:t>i</w:t>
      </w:r>
      <w:r w:rsidRPr="00B408B9">
        <w:rPr>
          <w:rFonts w:ascii="Cambria" w:hAnsi="Cambria"/>
          <w:sz w:val="22"/>
          <w:szCs w:val="22"/>
        </w:rPr>
        <w:t xml:space="preserve">s $167,933 and the median of the sale prices in the table </w:t>
      </w:r>
      <w:r w:rsidR="00FC5237">
        <w:rPr>
          <w:rFonts w:ascii="Cambria" w:hAnsi="Cambria"/>
          <w:sz w:val="22"/>
          <w:szCs w:val="22"/>
        </w:rPr>
        <w:t>i</w:t>
      </w:r>
      <w:r w:rsidRPr="00B408B9">
        <w:rPr>
          <w:rFonts w:ascii="Cambria" w:hAnsi="Cambria"/>
          <w:sz w:val="22"/>
          <w:szCs w:val="22"/>
        </w:rPr>
        <w:t xml:space="preserve">s $132,500. </w:t>
      </w:r>
      <w:r w:rsidR="0085299C" w:rsidRPr="00B408B9">
        <w:rPr>
          <w:rFonts w:ascii="Cambria" w:hAnsi="Cambria"/>
          <w:sz w:val="22"/>
          <w:szCs w:val="22"/>
        </w:rPr>
        <w:t xml:space="preserve">The </w:t>
      </w:r>
      <w:r w:rsidRPr="00B408B9">
        <w:rPr>
          <w:rFonts w:ascii="Cambria" w:hAnsi="Cambria"/>
          <w:sz w:val="22"/>
          <w:szCs w:val="22"/>
        </w:rPr>
        <w:t xml:space="preserve">HUD loan limits are substantially higher than the county median sale price and the “national loan limit” has no relationship to median sale price in non-high cost counties. </w:t>
      </w:r>
    </w:p>
    <w:p w14:paraId="144A4603" w14:textId="77777777" w:rsidR="00AE4CDD" w:rsidRPr="00B408B9" w:rsidRDefault="00AE4CDD" w:rsidP="0082258A">
      <w:pPr>
        <w:rPr>
          <w:rFonts w:ascii="Cambria" w:hAnsi="Cambria"/>
          <w:sz w:val="22"/>
          <w:szCs w:val="22"/>
        </w:rPr>
      </w:pPr>
    </w:p>
    <w:p w14:paraId="3D448E3D" w14:textId="5582554C" w:rsidR="00C171B1" w:rsidRPr="00B408B9" w:rsidRDefault="00F645D8" w:rsidP="0082258A">
      <w:pPr>
        <w:rPr>
          <w:rFonts w:ascii="Cambria" w:hAnsi="Cambria"/>
          <w:sz w:val="22"/>
          <w:szCs w:val="22"/>
        </w:rPr>
      </w:pPr>
      <w:r>
        <w:rPr>
          <w:rFonts w:ascii="Cambria" w:hAnsi="Cambria"/>
          <w:sz w:val="22"/>
          <w:szCs w:val="22"/>
        </w:rPr>
        <w:t>G</w:t>
      </w:r>
      <w:r w:rsidRPr="00B408B9">
        <w:rPr>
          <w:rFonts w:ascii="Cambria" w:hAnsi="Cambria"/>
          <w:sz w:val="22"/>
          <w:szCs w:val="22"/>
        </w:rPr>
        <w:t xml:space="preserve">iven that the national loan limits for the FHA Forward program are not based on housing sale prices except for high cost counties, this methodology is not the optimum basis for determining loan limits on a subsidized loan program. </w:t>
      </w:r>
      <w:r w:rsidR="008A699A">
        <w:rPr>
          <w:rFonts w:ascii="Cambria" w:hAnsi="Cambria"/>
          <w:sz w:val="22"/>
          <w:szCs w:val="22"/>
        </w:rPr>
        <w:t xml:space="preserve">HAC </w:t>
      </w:r>
      <w:r w:rsidR="00E679C3">
        <w:rPr>
          <w:rFonts w:ascii="Cambria" w:hAnsi="Cambria"/>
          <w:sz w:val="22"/>
          <w:szCs w:val="22"/>
        </w:rPr>
        <w:t xml:space="preserve">also </w:t>
      </w:r>
      <w:r w:rsidR="008A699A">
        <w:rPr>
          <w:rFonts w:ascii="Cambria" w:hAnsi="Cambria"/>
          <w:sz w:val="22"/>
          <w:szCs w:val="22"/>
        </w:rPr>
        <w:t xml:space="preserve">questions whether it is appropriate </w:t>
      </w:r>
      <w:r w:rsidR="00C171B1" w:rsidRPr="00B408B9">
        <w:rPr>
          <w:rFonts w:ascii="Cambria" w:hAnsi="Cambria"/>
          <w:sz w:val="22"/>
          <w:szCs w:val="22"/>
        </w:rPr>
        <w:t xml:space="preserve">to </w:t>
      </w:r>
      <w:r w:rsidR="006360E9">
        <w:rPr>
          <w:rFonts w:ascii="Cambria" w:hAnsi="Cambria"/>
          <w:sz w:val="22"/>
          <w:szCs w:val="22"/>
        </w:rPr>
        <w:t>draw conclusions on</w:t>
      </w:r>
      <w:r w:rsidR="006360E9" w:rsidRPr="00B408B9">
        <w:rPr>
          <w:rFonts w:ascii="Cambria" w:hAnsi="Cambria"/>
          <w:sz w:val="22"/>
          <w:szCs w:val="22"/>
        </w:rPr>
        <w:t xml:space="preserve"> </w:t>
      </w:r>
      <w:r w:rsidR="00C171B1" w:rsidRPr="00B408B9">
        <w:rPr>
          <w:rFonts w:ascii="Cambria" w:hAnsi="Cambria"/>
          <w:sz w:val="22"/>
          <w:szCs w:val="22"/>
        </w:rPr>
        <w:t>the impact of the area loan limit change when both the income banding pilot and the area loan pilot ran in 11 of the 23 states</w:t>
      </w:r>
      <w:r w:rsidR="008A699A">
        <w:rPr>
          <w:rFonts w:ascii="Cambria" w:hAnsi="Cambria"/>
          <w:sz w:val="22"/>
          <w:szCs w:val="22"/>
        </w:rPr>
        <w:t xml:space="preserve">. </w:t>
      </w:r>
      <w:r w:rsidR="003821BD">
        <w:rPr>
          <w:rFonts w:ascii="Cambria" w:hAnsi="Cambria"/>
          <w:sz w:val="22"/>
          <w:szCs w:val="22"/>
        </w:rPr>
        <w:t>HAC does not object to changing the method for determining loan limits but we question whether the FHA Forward loan limits are the appropriate and reliable means to do so.</w:t>
      </w:r>
    </w:p>
    <w:p w14:paraId="0A11A0E4" w14:textId="77777777" w:rsidR="00FE4219" w:rsidRPr="00B408B9" w:rsidRDefault="006360E9" w:rsidP="001635D2">
      <w:pPr>
        <w:tabs>
          <w:tab w:val="left" w:pos="1545"/>
        </w:tabs>
        <w:rPr>
          <w:rFonts w:ascii="Cambria" w:hAnsi="Cambria"/>
          <w:sz w:val="22"/>
          <w:szCs w:val="22"/>
        </w:rPr>
      </w:pPr>
      <w:r>
        <w:rPr>
          <w:rFonts w:ascii="Cambria" w:hAnsi="Cambria"/>
          <w:sz w:val="22"/>
          <w:szCs w:val="22"/>
        </w:rPr>
        <w:tab/>
      </w:r>
    </w:p>
    <w:p w14:paraId="6155FF6D" w14:textId="449D0BA0" w:rsidR="00CE4664" w:rsidRPr="00B408B9" w:rsidRDefault="00C171B1" w:rsidP="0082258A">
      <w:pPr>
        <w:rPr>
          <w:rFonts w:ascii="Cambria" w:hAnsi="Cambria"/>
          <w:sz w:val="22"/>
          <w:szCs w:val="22"/>
        </w:rPr>
      </w:pPr>
      <w:r w:rsidRPr="00B408B9">
        <w:rPr>
          <w:rFonts w:ascii="Cambria" w:hAnsi="Cambria"/>
          <w:sz w:val="22"/>
          <w:szCs w:val="22"/>
        </w:rPr>
        <w:t>Below are</w:t>
      </w:r>
      <w:r w:rsidR="00506ABD" w:rsidRPr="00B408B9">
        <w:rPr>
          <w:rFonts w:ascii="Cambria" w:hAnsi="Cambria"/>
          <w:sz w:val="22"/>
          <w:szCs w:val="22"/>
        </w:rPr>
        <w:t xml:space="preserve"> HAC</w:t>
      </w:r>
      <w:r w:rsidR="00A2575C">
        <w:rPr>
          <w:rFonts w:ascii="Cambria" w:hAnsi="Cambria"/>
          <w:sz w:val="22"/>
          <w:szCs w:val="22"/>
        </w:rPr>
        <w:t>-</w:t>
      </w:r>
      <w:r w:rsidR="00506ABD" w:rsidRPr="00B408B9">
        <w:rPr>
          <w:rFonts w:ascii="Cambria" w:hAnsi="Cambria"/>
          <w:sz w:val="22"/>
          <w:szCs w:val="22"/>
        </w:rPr>
        <w:t>generated</w:t>
      </w:r>
      <w:r w:rsidRPr="00B408B9">
        <w:rPr>
          <w:rFonts w:ascii="Cambria" w:hAnsi="Cambria"/>
          <w:sz w:val="22"/>
          <w:szCs w:val="22"/>
        </w:rPr>
        <w:t xml:space="preserve"> examples of the maximum loan an applicant could qualify for in higher and lower income counties.</w:t>
      </w:r>
      <w:r w:rsidR="000C7F10" w:rsidRPr="00B408B9">
        <w:rPr>
          <w:rFonts w:ascii="Cambria" w:hAnsi="Cambria"/>
          <w:sz w:val="22"/>
          <w:szCs w:val="22"/>
        </w:rPr>
        <w:t xml:space="preserve"> </w:t>
      </w:r>
      <w:r w:rsidRPr="00B408B9">
        <w:rPr>
          <w:rFonts w:ascii="Cambria" w:hAnsi="Cambria"/>
          <w:sz w:val="22"/>
          <w:szCs w:val="22"/>
        </w:rPr>
        <w:t xml:space="preserve">The </w:t>
      </w:r>
      <w:r w:rsidR="003A5EA0">
        <w:rPr>
          <w:rFonts w:ascii="Cambria" w:hAnsi="Cambria"/>
          <w:sz w:val="22"/>
          <w:szCs w:val="22"/>
        </w:rPr>
        <w:t xml:space="preserve">example </w:t>
      </w:r>
      <w:r w:rsidRPr="00B408B9">
        <w:rPr>
          <w:rFonts w:ascii="Cambria" w:hAnsi="Cambria"/>
          <w:sz w:val="22"/>
          <w:szCs w:val="22"/>
        </w:rPr>
        <w:t>applicant was assumed to have minimal total debt ($500 per month).</w:t>
      </w:r>
      <w:r w:rsidR="000C7F10" w:rsidRPr="00B408B9">
        <w:rPr>
          <w:rFonts w:ascii="Cambria" w:hAnsi="Cambria"/>
          <w:sz w:val="22"/>
          <w:szCs w:val="22"/>
        </w:rPr>
        <w:t xml:space="preserve"> </w:t>
      </w:r>
      <w:r w:rsidRPr="00B408B9">
        <w:rPr>
          <w:rFonts w:ascii="Cambria" w:hAnsi="Cambria"/>
          <w:sz w:val="22"/>
          <w:szCs w:val="22"/>
        </w:rPr>
        <w:t xml:space="preserve">Taxes and insurance were estimated at 1.5 percent </w:t>
      </w:r>
      <w:r w:rsidR="00BD5D45" w:rsidRPr="00B408B9">
        <w:rPr>
          <w:rFonts w:ascii="Cambria" w:hAnsi="Cambria"/>
          <w:sz w:val="22"/>
          <w:szCs w:val="22"/>
        </w:rPr>
        <w:t>of the</w:t>
      </w:r>
      <w:r w:rsidR="00F50187" w:rsidRPr="00B408B9">
        <w:rPr>
          <w:rFonts w:ascii="Cambria" w:hAnsi="Cambria"/>
          <w:sz w:val="22"/>
          <w:szCs w:val="22"/>
        </w:rPr>
        <w:t xml:space="preserve"> home value (based on a $235,612 house </w:t>
      </w:r>
      <w:r w:rsidRPr="00B408B9">
        <w:rPr>
          <w:rFonts w:ascii="Cambria" w:hAnsi="Cambria"/>
          <w:sz w:val="22"/>
          <w:szCs w:val="22"/>
        </w:rPr>
        <w:t xml:space="preserve">for </w:t>
      </w:r>
      <w:r w:rsidR="0079781C">
        <w:rPr>
          <w:rFonts w:ascii="Cambria" w:hAnsi="Cambria"/>
          <w:sz w:val="22"/>
          <w:szCs w:val="22"/>
        </w:rPr>
        <w:t xml:space="preserve">the </w:t>
      </w:r>
      <w:r w:rsidRPr="00B408B9">
        <w:rPr>
          <w:rFonts w:ascii="Cambria" w:hAnsi="Cambria"/>
          <w:sz w:val="22"/>
          <w:szCs w:val="22"/>
        </w:rPr>
        <w:t>lower income county</w:t>
      </w:r>
      <w:r w:rsidR="0079781C">
        <w:rPr>
          <w:rFonts w:ascii="Cambria" w:hAnsi="Cambria"/>
          <w:sz w:val="22"/>
          <w:szCs w:val="22"/>
        </w:rPr>
        <w:t xml:space="preserve"> (Example 1) </w:t>
      </w:r>
      <w:r w:rsidRPr="00B408B9">
        <w:rPr>
          <w:rFonts w:ascii="Cambria" w:hAnsi="Cambria"/>
          <w:sz w:val="22"/>
          <w:szCs w:val="22"/>
        </w:rPr>
        <w:t xml:space="preserve">and 3 percent for the higher income </w:t>
      </w:r>
      <w:r w:rsidR="00155163" w:rsidRPr="00B408B9">
        <w:rPr>
          <w:rFonts w:ascii="Cambria" w:hAnsi="Cambria"/>
          <w:sz w:val="22"/>
          <w:szCs w:val="22"/>
        </w:rPr>
        <w:t>county</w:t>
      </w:r>
      <w:r w:rsidR="0079781C">
        <w:rPr>
          <w:rFonts w:ascii="Cambria" w:hAnsi="Cambria"/>
          <w:sz w:val="22"/>
          <w:szCs w:val="22"/>
        </w:rPr>
        <w:t xml:space="preserve"> (Example 2)</w:t>
      </w:r>
      <w:r w:rsidR="00155163" w:rsidRPr="00B408B9">
        <w:rPr>
          <w:rFonts w:ascii="Cambria" w:hAnsi="Cambria"/>
          <w:sz w:val="22"/>
          <w:szCs w:val="22"/>
        </w:rPr>
        <w:t>.</w:t>
      </w:r>
      <w:r w:rsidR="000C7F10" w:rsidRPr="00B408B9">
        <w:rPr>
          <w:rFonts w:ascii="Cambria" w:hAnsi="Cambria"/>
          <w:sz w:val="22"/>
          <w:szCs w:val="22"/>
        </w:rPr>
        <w:t xml:space="preserve"> </w:t>
      </w:r>
      <w:r w:rsidRPr="00B408B9">
        <w:rPr>
          <w:rFonts w:ascii="Cambria" w:hAnsi="Cambria"/>
          <w:sz w:val="22"/>
          <w:szCs w:val="22"/>
        </w:rPr>
        <w:t>These tables reflect the maximum loan an applicant could qualify for based on these assumptions</w:t>
      </w:r>
      <w:r w:rsidR="00837945" w:rsidRPr="00B408B9">
        <w:rPr>
          <w:rFonts w:ascii="Cambria" w:hAnsi="Cambria"/>
          <w:sz w:val="22"/>
          <w:szCs w:val="22"/>
        </w:rPr>
        <w:t xml:space="preserve"> regardless of the area loan limit</w:t>
      </w:r>
      <w:r w:rsidRPr="00B408B9">
        <w:rPr>
          <w:rFonts w:ascii="Cambria" w:hAnsi="Cambria"/>
          <w:sz w:val="22"/>
          <w:szCs w:val="22"/>
        </w:rPr>
        <w:t>.</w:t>
      </w:r>
      <w:r w:rsidR="000C7F10" w:rsidRPr="00B408B9">
        <w:rPr>
          <w:rFonts w:ascii="Cambria" w:hAnsi="Cambria"/>
          <w:sz w:val="22"/>
          <w:szCs w:val="22"/>
        </w:rPr>
        <w:t xml:space="preserve"> </w:t>
      </w:r>
      <w:r w:rsidRPr="00B408B9">
        <w:rPr>
          <w:rFonts w:ascii="Cambria" w:hAnsi="Cambria"/>
          <w:sz w:val="22"/>
          <w:szCs w:val="22"/>
        </w:rPr>
        <w:t>It is recognized that lower or higher cost homes would likely have different tax and insurance costs</w:t>
      </w:r>
      <w:r w:rsidR="00506ABD" w:rsidRPr="00B408B9">
        <w:rPr>
          <w:rFonts w:ascii="Cambria" w:hAnsi="Cambria"/>
          <w:sz w:val="22"/>
          <w:szCs w:val="22"/>
        </w:rPr>
        <w:t>,</w:t>
      </w:r>
      <w:r w:rsidRPr="00B408B9">
        <w:rPr>
          <w:rFonts w:ascii="Cambria" w:hAnsi="Cambria"/>
          <w:sz w:val="22"/>
          <w:szCs w:val="22"/>
        </w:rPr>
        <w:t xml:space="preserve"> but these</w:t>
      </w:r>
      <w:r w:rsidR="00506ABD" w:rsidRPr="00B408B9">
        <w:rPr>
          <w:rFonts w:ascii="Cambria" w:hAnsi="Cambria"/>
          <w:sz w:val="22"/>
          <w:szCs w:val="22"/>
        </w:rPr>
        <w:t xml:space="preserve"> examples</w:t>
      </w:r>
      <w:r w:rsidRPr="00B408B9">
        <w:rPr>
          <w:rFonts w:ascii="Cambria" w:hAnsi="Cambria"/>
          <w:sz w:val="22"/>
          <w:szCs w:val="22"/>
        </w:rPr>
        <w:t xml:space="preserve"> serve to illustrate the maximum loan for which households at various income levels could qualify.</w:t>
      </w:r>
      <w:r w:rsidR="000C7F10" w:rsidRPr="00B408B9">
        <w:rPr>
          <w:rFonts w:ascii="Cambria" w:hAnsi="Cambria"/>
          <w:sz w:val="22"/>
          <w:szCs w:val="22"/>
        </w:rPr>
        <w:t xml:space="preserve"> </w:t>
      </w:r>
      <w:r w:rsidRPr="00B408B9">
        <w:rPr>
          <w:rFonts w:ascii="Cambria" w:hAnsi="Cambria"/>
          <w:sz w:val="22"/>
          <w:szCs w:val="22"/>
        </w:rPr>
        <w:t xml:space="preserve">Higher income borrowers qualify for larger loans at higher subsidy costs while lower income borrowers qualify for significantly lower loan amounts. </w:t>
      </w:r>
    </w:p>
    <w:p w14:paraId="3B34E612" w14:textId="111D1B0D" w:rsidR="00776431" w:rsidRDefault="00776431">
      <w:pPr>
        <w:rPr>
          <w:rFonts w:ascii="Cambria" w:hAnsi="Cambria"/>
          <w:sz w:val="22"/>
          <w:szCs w:val="22"/>
        </w:rPr>
      </w:pPr>
      <w:r>
        <w:rPr>
          <w:rFonts w:ascii="Cambria" w:hAnsi="Cambria"/>
          <w:sz w:val="22"/>
          <w:szCs w:val="22"/>
        </w:rPr>
        <w:br w:type="page"/>
      </w:r>
    </w:p>
    <w:p w14:paraId="24A378F2" w14:textId="77777777" w:rsidR="00B408B9" w:rsidRPr="00B408B9" w:rsidRDefault="00B408B9" w:rsidP="0082258A">
      <w:pPr>
        <w:rPr>
          <w:rFonts w:ascii="Cambria" w:hAnsi="Cambria"/>
          <w:sz w:val="22"/>
          <w:szCs w:val="22"/>
        </w:rPr>
      </w:pPr>
      <w:bookmarkStart w:id="1" w:name="_GoBack"/>
      <w:bookmarkEnd w:id="1"/>
    </w:p>
    <w:tbl>
      <w:tblPr>
        <w:tblW w:w="8417" w:type="dxa"/>
        <w:tblLook w:val="04A0" w:firstRow="1" w:lastRow="0" w:firstColumn="1" w:lastColumn="0" w:noHBand="0" w:noVBand="1"/>
      </w:tblPr>
      <w:tblGrid>
        <w:gridCol w:w="1500"/>
        <w:gridCol w:w="1383"/>
        <w:gridCol w:w="1116"/>
        <w:gridCol w:w="1773"/>
        <w:gridCol w:w="1344"/>
        <w:gridCol w:w="1301"/>
      </w:tblGrid>
      <w:tr w:rsidR="00C171B1" w:rsidRPr="00664A12" w14:paraId="6DAF8DDA" w14:textId="77777777" w:rsidTr="001635D2">
        <w:trPr>
          <w:trHeight w:val="699"/>
        </w:trPr>
        <w:tc>
          <w:tcPr>
            <w:tcW w:w="8417" w:type="dxa"/>
            <w:gridSpan w:val="6"/>
            <w:tcBorders>
              <w:top w:val="nil"/>
              <w:left w:val="nil"/>
              <w:bottom w:val="single" w:sz="12" w:space="0" w:color="auto"/>
              <w:right w:val="nil"/>
            </w:tcBorders>
            <w:shd w:val="clear" w:color="auto" w:fill="auto"/>
            <w:vAlign w:val="bottom"/>
            <w:hideMark/>
          </w:tcPr>
          <w:p w14:paraId="776B0279" w14:textId="77777777" w:rsidR="00C171B1" w:rsidRPr="00664A12" w:rsidRDefault="00CE4664" w:rsidP="0082258A">
            <w:pPr>
              <w:rPr>
                <w:rFonts w:ascii="Tahoma" w:hAnsi="Tahoma" w:cs="Tahoma"/>
                <w:b/>
                <w:bCs/>
                <w:color w:val="000000"/>
                <w:sz w:val="20"/>
                <w:szCs w:val="22"/>
              </w:rPr>
            </w:pPr>
            <w:r w:rsidRPr="00664A12">
              <w:rPr>
                <w:rFonts w:ascii="Cambria" w:hAnsi="Cambria"/>
                <w:sz w:val="20"/>
                <w:szCs w:val="22"/>
              </w:rPr>
              <w:br w:type="page"/>
            </w:r>
            <w:r w:rsidR="00C171B1" w:rsidRPr="00664A12">
              <w:rPr>
                <w:rFonts w:ascii="Tahoma" w:hAnsi="Tahoma" w:cs="Tahoma"/>
                <w:b/>
                <w:bCs/>
                <w:color w:val="000000"/>
                <w:sz w:val="20"/>
                <w:szCs w:val="22"/>
              </w:rPr>
              <w:t>Example 1</w:t>
            </w:r>
          </w:p>
          <w:p w14:paraId="5F4AD62A" w14:textId="77777777" w:rsidR="00C44333" w:rsidRPr="00664A12" w:rsidRDefault="00C171B1" w:rsidP="0082258A">
            <w:pPr>
              <w:rPr>
                <w:rFonts w:ascii="Tahoma" w:hAnsi="Tahoma" w:cs="Tahoma"/>
                <w:b/>
                <w:bCs/>
                <w:color w:val="000000"/>
                <w:sz w:val="20"/>
                <w:szCs w:val="22"/>
              </w:rPr>
            </w:pPr>
            <w:r w:rsidRPr="00664A12">
              <w:rPr>
                <w:rFonts w:ascii="Tahoma" w:hAnsi="Tahoma" w:cs="Tahoma"/>
                <w:b/>
                <w:bCs/>
                <w:color w:val="000000"/>
                <w:sz w:val="20"/>
                <w:szCs w:val="22"/>
              </w:rPr>
              <w:t xml:space="preserve">Lower Income County </w:t>
            </w:r>
          </w:p>
          <w:p w14:paraId="5506ECFD" w14:textId="77777777" w:rsidR="00C171B1" w:rsidRPr="00664A12" w:rsidRDefault="00BA3F9E" w:rsidP="0082258A">
            <w:pPr>
              <w:rPr>
                <w:rFonts w:ascii="Tahoma" w:hAnsi="Tahoma" w:cs="Tahoma"/>
                <w:b/>
                <w:bCs/>
                <w:color w:val="000000"/>
                <w:sz w:val="20"/>
                <w:szCs w:val="22"/>
              </w:rPr>
            </w:pPr>
            <w:r w:rsidRPr="00664A12">
              <w:rPr>
                <w:rFonts w:ascii="Tahoma" w:hAnsi="Tahoma" w:cs="Tahoma"/>
                <w:b/>
                <w:bCs/>
                <w:color w:val="000000"/>
                <w:sz w:val="20"/>
                <w:szCs w:val="22"/>
              </w:rPr>
              <w:t xml:space="preserve">(Median Income = $53,700 </w:t>
            </w:r>
            <w:r w:rsidR="00D56E8C" w:rsidRPr="00664A12">
              <w:rPr>
                <w:rFonts w:ascii="Tahoma" w:hAnsi="Tahoma" w:cs="Tahoma"/>
                <w:b/>
                <w:bCs/>
                <w:color w:val="000000"/>
                <w:sz w:val="20"/>
                <w:szCs w:val="22"/>
              </w:rPr>
              <w:t>for 4 person Household)</w:t>
            </w:r>
          </w:p>
          <w:p w14:paraId="05BE76B0" w14:textId="77777777" w:rsidR="00C171B1" w:rsidRPr="00664A12" w:rsidRDefault="00C171B1" w:rsidP="0082258A">
            <w:pPr>
              <w:rPr>
                <w:rFonts w:ascii="Tahoma" w:hAnsi="Tahoma" w:cs="Tahoma"/>
                <w:b/>
                <w:bCs/>
                <w:color w:val="000000"/>
                <w:sz w:val="20"/>
                <w:szCs w:val="22"/>
              </w:rPr>
            </w:pPr>
            <w:r w:rsidRPr="00664A12">
              <w:rPr>
                <w:rFonts w:ascii="Tahoma" w:hAnsi="Tahoma" w:cs="Tahoma"/>
                <w:b/>
                <w:bCs/>
                <w:color w:val="000000"/>
                <w:sz w:val="20"/>
                <w:szCs w:val="22"/>
              </w:rPr>
              <w:t xml:space="preserve">Estimated Taxes and Insurance $3,514 (1.5 percent of $235,612) </w:t>
            </w:r>
          </w:p>
          <w:p w14:paraId="76DBEA11" w14:textId="77777777" w:rsidR="00C171B1" w:rsidRPr="00664A12" w:rsidRDefault="00C171B1" w:rsidP="0082258A">
            <w:pPr>
              <w:rPr>
                <w:rFonts w:ascii="Tahoma" w:hAnsi="Tahoma" w:cs="Tahoma"/>
                <w:b/>
                <w:bCs/>
                <w:color w:val="000000"/>
                <w:sz w:val="20"/>
                <w:szCs w:val="22"/>
              </w:rPr>
            </w:pPr>
          </w:p>
        </w:tc>
      </w:tr>
      <w:tr w:rsidR="001635D2" w:rsidRPr="00664A12" w14:paraId="6F43810E" w14:textId="77777777" w:rsidTr="001635D2">
        <w:trPr>
          <w:trHeight w:val="864"/>
        </w:trPr>
        <w:tc>
          <w:tcPr>
            <w:tcW w:w="1500" w:type="dxa"/>
            <w:tcBorders>
              <w:top w:val="single" w:sz="12" w:space="0" w:color="auto"/>
              <w:left w:val="single" w:sz="12" w:space="0" w:color="auto"/>
              <w:bottom w:val="single" w:sz="6" w:space="0" w:color="auto"/>
              <w:right w:val="single" w:sz="6" w:space="0" w:color="auto"/>
            </w:tcBorders>
            <w:shd w:val="clear" w:color="auto" w:fill="auto"/>
            <w:vAlign w:val="bottom"/>
            <w:hideMark/>
          </w:tcPr>
          <w:p w14:paraId="02E1D1D2" w14:textId="77777777" w:rsidR="00C171B1" w:rsidRPr="00664A12" w:rsidRDefault="00C171B1" w:rsidP="0082258A">
            <w:pPr>
              <w:rPr>
                <w:rFonts w:ascii="Tahoma" w:hAnsi="Tahoma" w:cs="Tahoma"/>
                <w:b/>
                <w:bCs/>
                <w:color w:val="000000"/>
                <w:sz w:val="20"/>
                <w:szCs w:val="22"/>
              </w:rPr>
            </w:pPr>
            <w:r w:rsidRPr="00664A12">
              <w:rPr>
                <w:rFonts w:ascii="Tahoma" w:hAnsi="Tahoma" w:cs="Tahoma"/>
                <w:b/>
                <w:bCs/>
                <w:color w:val="000000"/>
                <w:sz w:val="20"/>
                <w:szCs w:val="22"/>
              </w:rPr>
              <w:t>Very Low-Income Households</w:t>
            </w:r>
          </w:p>
        </w:tc>
        <w:tc>
          <w:tcPr>
            <w:tcW w:w="1383" w:type="dxa"/>
            <w:tcBorders>
              <w:top w:val="single" w:sz="12" w:space="0" w:color="auto"/>
              <w:left w:val="single" w:sz="6" w:space="0" w:color="auto"/>
              <w:bottom w:val="single" w:sz="6" w:space="0" w:color="auto"/>
              <w:right w:val="single" w:sz="6" w:space="0" w:color="auto"/>
            </w:tcBorders>
            <w:shd w:val="clear" w:color="auto" w:fill="auto"/>
            <w:vAlign w:val="bottom"/>
            <w:hideMark/>
          </w:tcPr>
          <w:p w14:paraId="2C3B0EE0" w14:textId="77777777" w:rsidR="00C171B1" w:rsidRPr="00664A12" w:rsidRDefault="00C171B1" w:rsidP="0082258A">
            <w:pPr>
              <w:jc w:val="center"/>
              <w:rPr>
                <w:rFonts w:ascii="Tahoma" w:hAnsi="Tahoma" w:cs="Tahoma"/>
                <w:b/>
                <w:bCs/>
                <w:color w:val="000000"/>
                <w:sz w:val="20"/>
                <w:szCs w:val="22"/>
              </w:rPr>
            </w:pPr>
            <w:r w:rsidRPr="00664A12">
              <w:rPr>
                <w:rFonts w:ascii="Tahoma" w:hAnsi="Tahoma" w:cs="Tahoma"/>
                <w:b/>
                <w:bCs/>
                <w:color w:val="000000"/>
                <w:sz w:val="20"/>
                <w:szCs w:val="22"/>
              </w:rPr>
              <w:t>Maximum Loan Amt</w:t>
            </w:r>
          </w:p>
        </w:tc>
        <w:tc>
          <w:tcPr>
            <w:tcW w:w="1116" w:type="dxa"/>
            <w:tcBorders>
              <w:top w:val="single" w:sz="12" w:space="0" w:color="auto"/>
              <w:left w:val="single" w:sz="6" w:space="0" w:color="auto"/>
              <w:bottom w:val="single" w:sz="6" w:space="0" w:color="auto"/>
              <w:right w:val="single" w:sz="12" w:space="0" w:color="auto"/>
            </w:tcBorders>
            <w:shd w:val="clear" w:color="auto" w:fill="auto"/>
            <w:vAlign w:val="bottom"/>
            <w:hideMark/>
          </w:tcPr>
          <w:p w14:paraId="70B679F2" w14:textId="77777777" w:rsidR="00C171B1" w:rsidRPr="00664A12" w:rsidRDefault="00C171B1" w:rsidP="0082258A">
            <w:pPr>
              <w:jc w:val="center"/>
              <w:rPr>
                <w:rFonts w:ascii="Tahoma" w:hAnsi="Tahoma" w:cs="Tahoma"/>
                <w:b/>
                <w:bCs/>
                <w:color w:val="000000"/>
                <w:sz w:val="20"/>
                <w:szCs w:val="22"/>
              </w:rPr>
            </w:pPr>
            <w:r w:rsidRPr="00664A12">
              <w:rPr>
                <w:rFonts w:ascii="Tahoma" w:hAnsi="Tahoma" w:cs="Tahoma"/>
                <w:b/>
                <w:bCs/>
                <w:color w:val="000000"/>
                <w:sz w:val="20"/>
                <w:szCs w:val="22"/>
              </w:rPr>
              <w:t>Subsidy per Month</w:t>
            </w:r>
          </w:p>
        </w:tc>
        <w:tc>
          <w:tcPr>
            <w:tcW w:w="1773" w:type="dxa"/>
            <w:tcBorders>
              <w:top w:val="single" w:sz="12" w:space="0" w:color="auto"/>
              <w:left w:val="single" w:sz="12" w:space="0" w:color="auto"/>
              <w:bottom w:val="single" w:sz="6" w:space="0" w:color="auto"/>
              <w:right w:val="single" w:sz="6" w:space="0" w:color="auto"/>
            </w:tcBorders>
            <w:shd w:val="clear" w:color="auto" w:fill="auto"/>
            <w:vAlign w:val="bottom"/>
            <w:hideMark/>
          </w:tcPr>
          <w:p w14:paraId="23713034" w14:textId="77777777" w:rsidR="00C171B1" w:rsidRPr="00664A12" w:rsidRDefault="00C171B1" w:rsidP="0082258A">
            <w:pPr>
              <w:rPr>
                <w:rFonts w:ascii="Tahoma" w:hAnsi="Tahoma" w:cs="Tahoma"/>
                <w:b/>
                <w:bCs/>
                <w:color w:val="000000"/>
                <w:sz w:val="20"/>
                <w:szCs w:val="22"/>
              </w:rPr>
            </w:pPr>
            <w:r w:rsidRPr="00664A12">
              <w:rPr>
                <w:rFonts w:ascii="Tahoma" w:hAnsi="Tahoma" w:cs="Tahoma"/>
                <w:b/>
                <w:bCs/>
                <w:color w:val="000000"/>
                <w:sz w:val="20"/>
                <w:szCs w:val="22"/>
              </w:rPr>
              <w:t>Low-Income Households:</w:t>
            </w:r>
          </w:p>
        </w:tc>
        <w:tc>
          <w:tcPr>
            <w:tcW w:w="1344" w:type="dxa"/>
            <w:tcBorders>
              <w:top w:val="single" w:sz="12" w:space="0" w:color="auto"/>
              <w:left w:val="single" w:sz="6" w:space="0" w:color="auto"/>
              <w:bottom w:val="single" w:sz="6" w:space="0" w:color="auto"/>
              <w:right w:val="single" w:sz="6" w:space="0" w:color="auto"/>
            </w:tcBorders>
            <w:shd w:val="clear" w:color="auto" w:fill="auto"/>
            <w:vAlign w:val="bottom"/>
            <w:hideMark/>
          </w:tcPr>
          <w:p w14:paraId="4852F4F6" w14:textId="77777777" w:rsidR="00C171B1" w:rsidRPr="00664A12" w:rsidRDefault="00C171B1" w:rsidP="0082258A">
            <w:pPr>
              <w:jc w:val="center"/>
              <w:rPr>
                <w:rFonts w:ascii="Tahoma" w:hAnsi="Tahoma" w:cs="Tahoma"/>
                <w:b/>
                <w:bCs/>
                <w:color w:val="000000"/>
                <w:sz w:val="20"/>
                <w:szCs w:val="22"/>
              </w:rPr>
            </w:pPr>
            <w:r w:rsidRPr="00664A12">
              <w:rPr>
                <w:rFonts w:ascii="Tahoma" w:hAnsi="Tahoma" w:cs="Tahoma"/>
                <w:b/>
                <w:bCs/>
                <w:color w:val="000000"/>
                <w:sz w:val="20"/>
                <w:szCs w:val="22"/>
              </w:rPr>
              <w:t>Maximum Loan Amt</w:t>
            </w:r>
          </w:p>
        </w:tc>
        <w:tc>
          <w:tcPr>
            <w:tcW w:w="1301" w:type="dxa"/>
            <w:tcBorders>
              <w:top w:val="single" w:sz="12" w:space="0" w:color="auto"/>
              <w:left w:val="single" w:sz="6" w:space="0" w:color="auto"/>
              <w:bottom w:val="single" w:sz="6" w:space="0" w:color="auto"/>
              <w:right w:val="single" w:sz="12" w:space="0" w:color="auto"/>
            </w:tcBorders>
            <w:shd w:val="clear" w:color="auto" w:fill="auto"/>
            <w:vAlign w:val="bottom"/>
            <w:hideMark/>
          </w:tcPr>
          <w:p w14:paraId="318C5271" w14:textId="77777777" w:rsidR="00C171B1" w:rsidRPr="00664A12" w:rsidRDefault="00C171B1" w:rsidP="0082258A">
            <w:pPr>
              <w:jc w:val="center"/>
              <w:rPr>
                <w:rFonts w:ascii="Tahoma" w:hAnsi="Tahoma" w:cs="Tahoma"/>
                <w:b/>
                <w:bCs/>
                <w:color w:val="000000"/>
                <w:sz w:val="20"/>
                <w:szCs w:val="22"/>
              </w:rPr>
            </w:pPr>
            <w:r w:rsidRPr="00664A12">
              <w:rPr>
                <w:rFonts w:ascii="Tahoma" w:hAnsi="Tahoma" w:cs="Tahoma"/>
                <w:b/>
                <w:bCs/>
                <w:color w:val="000000"/>
                <w:sz w:val="20"/>
                <w:szCs w:val="22"/>
              </w:rPr>
              <w:t>Subsidy per Month</w:t>
            </w:r>
            <w:r w:rsidRPr="00664A12">
              <w:rPr>
                <w:rStyle w:val="FootnoteReference"/>
                <w:rFonts w:ascii="Tahoma" w:hAnsi="Tahoma" w:cs="Tahoma"/>
                <w:b/>
                <w:bCs/>
                <w:color w:val="000000"/>
                <w:sz w:val="20"/>
                <w:szCs w:val="22"/>
              </w:rPr>
              <w:footnoteReference w:id="6"/>
            </w:r>
          </w:p>
        </w:tc>
      </w:tr>
      <w:tr w:rsidR="001635D2" w:rsidRPr="00664A12" w14:paraId="70833C4C" w14:textId="77777777" w:rsidTr="001635D2">
        <w:trPr>
          <w:trHeight w:val="288"/>
        </w:trPr>
        <w:tc>
          <w:tcPr>
            <w:tcW w:w="1500"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0BBAE548"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$26,850 </w:t>
            </w:r>
          </w:p>
        </w:tc>
        <w:tc>
          <w:tcPr>
            <w:tcW w:w="13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BFAC3EA"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$118,670 </w:t>
            </w:r>
          </w:p>
        </w:tc>
        <w:tc>
          <w:tcPr>
            <w:tcW w:w="1116"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7E3AA9CB"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$286 </w:t>
            </w:r>
          </w:p>
        </w:tc>
        <w:tc>
          <w:tcPr>
            <w:tcW w:w="177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2B90BD05"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$42,950 </w:t>
            </w:r>
          </w:p>
        </w:tc>
        <w:tc>
          <w:tcPr>
            <w:tcW w:w="134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AB02E6C"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$298,580 </w:t>
            </w:r>
          </w:p>
        </w:tc>
        <w:tc>
          <w:tcPr>
            <w:tcW w:w="1301"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03F1DBA0"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$430 </w:t>
            </w:r>
          </w:p>
        </w:tc>
      </w:tr>
      <w:tr w:rsidR="001635D2" w:rsidRPr="00664A12" w14:paraId="76965586" w14:textId="77777777" w:rsidTr="001635D2">
        <w:trPr>
          <w:trHeight w:val="288"/>
        </w:trPr>
        <w:tc>
          <w:tcPr>
            <w:tcW w:w="1500"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75AD3222"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$25,850 </w:t>
            </w:r>
          </w:p>
        </w:tc>
        <w:tc>
          <w:tcPr>
            <w:tcW w:w="13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10692C61"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$111,900 </w:t>
            </w:r>
          </w:p>
        </w:tc>
        <w:tc>
          <w:tcPr>
            <w:tcW w:w="1116"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2DD8399D"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$161 </w:t>
            </w:r>
          </w:p>
        </w:tc>
        <w:tc>
          <w:tcPr>
            <w:tcW w:w="177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5B271499"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$41,950 </w:t>
            </w:r>
          </w:p>
        </w:tc>
        <w:tc>
          <w:tcPr>
            <w:tcW w:w="134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054E2640"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$290,230 </w:t>
            </w:r>
          </w:p>
        </w:tc>
        <w:tc>
          <w:tcPr>
            <w:tcW w:w="1301"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221E119C"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$418 </w:t>
            </w:r>
          </w:p>
        </w:tc>
      </w:tr>
      <w:tr w:rsidR="001635D2" w:rsidRPr="00664A12" w14:paraId="660EA759" w14:textId="77777777" w:rsidTr="001635D2">
        <w:trPr>
          <w:trHeight w:val="288"/>
        </w:trPr>
        <w:tc>
          <w:tcPr>
            <w:tcW w:w="1500"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005BFD4E"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$24,350 </w:t>
            </w:r>
          </w:p>
        </w:tc>
        <w:tc>
          <w:tcPr>
            <w:tcW w:w="13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411441E"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$97,480 </w:t>
            </w:r>
          </w:p>
        </w:tc>
        <w:tc>
          <w:tcPr>
            <w:tcW w:w="1116"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056F283E"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$140 </w:t>
            </w:r>
          </w:p>
        </w:tc>
        <w:tc>
          <w:tcPr>
            <w:tcW w:w="177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14677F42"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$40,450 </w:t>
            </w:r>
          </w:p>
        </w:tc>
        <w:tc>
          <w:tcPr>
            <w:tcW w:w="134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189CB4F"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$276,320 </w:t>
            </w:r>
          </w:p>
        </w:tc>
        <w:tc>
          <w:tcPr>
            <w:tcW w:w="1301"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7E4988B6"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$398 </w:t>
            </w:r>
          </w:p>
        </w:tc>
      </w:tr>
      <w:tr w:rsidR="001635D2" w:rsidRPr="00664A12" w14:paraId="3D677698" w14:textId="77777777" w:rsidTr="00BA4ED4">
        <w:trPr>
          <w:trHeight w:val="288"/>
        </w:trPr>
        <w:tc>
          <w:tcPr>
            <w:tcW w:w="1500"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5B36FDA3"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$21,850 </w:t>
            </w:r>
          </w:p>
        </w:tc>
        <w:tc>
          <w:tcPr>
            <w:tcW w:w="1383"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67AD3D2A"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$68,680 </w:t>
            </w:r>
          </w:p>
        </w:tc>
        <w:tc>
          <w:tcPr>
            <w:tcW w:w="1116"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7C10641F"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$99 </w:t>
            </w:r>
          </w:p>
        </w:tc>
        <w:tc>
          <w:tcPr>
            <w:tcW w:w="1773" w:type="dxa"/>
            <w:tcBorders>
              <w:top w:val="single" w:sz="6" w:space="0" w:color="auto"/>
              <w:left w:val="single" w:sz="12" w:space="0" w:color="auto"/>
              <w:bottom w:val="single" w:sz="6" w:space="0" w:color="auto"/>
              <w:right w:val="single" w:sz="6" w:space="0" w:color="auto"/>
            </w:tcBorders>
            <w:shd w:val="clear" w:color="auto" w:fill="auto"/>
            <w:noWrap/>
            <w:vAlign w:val="bottom"/>
            <w:hideMark/>
          </w:tcPr>
          <w:p w14:paraId="1BDE00BC"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$37,950 </w:t>
            </w:r>
          </w:p>
        </w:tc>
        <w:tc>
          <w:tcPr>
            <w:tcW w:w="1344"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14:paraId="2ECEEF5C"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$253,140 </w:t>
            </w:r>
          </w:p>
        </w:tc>
        <w:tc>
          <w:tcPr>
            <w:tcW w:w="1301" w:type="dxa"/>
            <w:tcBorders>
              <w:top w:val="single" w:sz="6" w:space="0" w:color="auto"/>
              <w:left w:val="single" w:sz="6" w:space="0" w:color="auto"/>
              <w:bottom w:val="single" w:sz="6" w:space="0" w:color="auto"/>
              <w:right w:val="single" w:sz="12" w:space="0" w:color="auto"/>
            </w:tcBorders>
            <w:shd w:val="clear" w:color="auto" w:fill="auto"/>
            <w:noWrap/>
            <w:vAlign w:val="bottom"/>
            <w:hideMark/>
          </w:tcPr>
          <w:p w14:paraId="53C165B3"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$364 </w:t>
            </w:r>
          </w:p>
        </w:tc>
      </w:tr>
      <w:tr w:rsidR="001635D2" w:rsidRPr="00664A12" w14:paraId="08974B3F" w14:textId="77777777" w:rsidTr="004A1088">
        <w:trPr>
          <w:trHeight w:val="288"/>
        </w:trPr>
        <w:tc>
          <w:tcPr>
            <w:tcW w:w="1500" w:type="dxa"/>
            <w:tcBorders>
              <w:top w:val="single" w:sz="6" w:space="0" w:color="auto"/>
              <w:left w:val="single" w:sz="12" w:space="0" w:color="auto"/>
              <w:bottom w:val="single" w:sz="4" w:space="0" w:color="auto"/>
              <w:right w:val="single" w:sz="4" w:space="0" w:color="auto"/>
            </w:tcBorders>
            <w:shd w:val="clear" w:color="auto" w:fill="auto"/>
            <w:noWrap/>
            <w:vAlign w:val="bottom"/>
            <w:hideMark/>
          </w:tcPr>
          <w:p w14:paraId="453D74A5"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$19,350 </w:t>
            </w:r>
          </w:p>
        </w:tc>
        <w:tc>
          <w:tcPr>
            <w:tcW w:w="1383" w:type="dxa"/>
            <w:tcBorders>
              <w:top w:val="single" w:sz="6" w:space="0" w:color="auto"/>
              <w:left w:val="single" w:sz="4" w:space="0" w:color="auto"/>
              <w:bottom w:val="single" w:sz="4" w:space="0" w:color="auto"/>
              <w:right w:val="single" w:sz="4" w:space="0" w:color="auto"/>
            </w:tcBorders>
            <w:shd w:val="clear" w:color="auto" w:fill="auto"/>
            <w:noWrap/>
            <w:vAlign w:val="bottom"/>
            <w:hideMark/>
          </w:tcPr>
          <w:p w14:paraId="61B0A618"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$39,880 </w:t>
            </w:r>
          </w:p>
        </w:tc>
        <w:tc>
          <w:tcPr>
            <w:tcW w:w="1116" w:type="dxa"/>
            <w:tcBorders>
              <w:top w:val="single" w:sz="6" w:space="0" w:color="auto"/>
              <w:left w:val="single" w:sz="4" w:space="0" w:color="auto"/>
              <w:bottom w:val="single" w:sz="4" w:space="0" w:color="auto"/>
              <w:right w:val="single" w:sz="12" w:space="0" w:color="auto"/>
            </w:tcBorders>
            <w:shd w:val="clear" w:color="auto" w:fill="auto"/>
            <w:noWrap/>
            <w:vAlign w:val="bottom"/>
            <w:hideMark/>
          </w:tcPr>
          <w:p w14:paraId="50E0E3D9"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$57 </w:t>
            </w:r>
          </w:p>
        </w:tc>
        <w:tc>
          <w:tcPr>
            <w:tcW w:w="1773" w:type="dxa"/>
            <w:tcBorders>
              <w:top w:val="single" w:sz="6" w:space="0" w:color="auto"/>
              <w:left w:val="single" w:sz="12" w:space="0" w:color="auto"/>
              <w:bottom w:val="single" w:sz="4" w:space="0" w:color="auto"/>
              <w:right w:val="single" w:sz="4" w:space="0" w:color="auto"/>
            </w:tcBorders>
            <w:shd w:val="clear" w:color="auto" w:fill="auto"/>
            <w:noWrap/>
            <w:vAlign w:val="bottom"/>
            <w:hideMark/>
          </w:tcPr>
          <w:p w14:paraId="5E91E2B5"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$35,450 </w:t>
            </w:r>
          </w:p>
        </w:tc>
        <w:tc>
          <w:tcPr>
            <w:tcW w:w="1344" w:type="dxa"/>
            <w:tcBorders>
              <w:top w:val="single" w:sz="6" w:space="0" w:color="auto"/>
              <w:left w:val="single" w:sz="4" w:space="0" w:color="auto"/>
              <w:bottom w:val="single" w:sz="4" w:space="0" w:color="auto"/>
              <w:right w:val="single" w:sz="4" w:space="0" w:color="auto"/>
            </w:tcBorders>
            <w:shd w:val="clear" w:color="auto" w:fill="auto"/>
            <w:noWrap/>
            <w:vAlign w:val="bottom"/>
            <w:hideMark/>
          </w:tcPr>
          <w:p w14:paraId="1DB322A8"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$224,790 </w:t>
            </w:r>
          </w:p>
        </w:tc>
        <w:tc>
          <w:tcPr>
            <w:tcW w:w="1301" w:type="dxa"/>
            <w:tcBorders>
              <w:top w:val="single" w:sz="6" w:space="0" w:color="auto"/>
              <w:left w:val="single" w:sz="4" w:space="0" w:color="auto"/>
              <w:bottom w:val="single" w:sz="4" w:space="0" w:color="auto"/>
              <w:right w:val="single" w:sz="12" w:space="0" w:color="auto"/>
            </w:tcBorders>
            <w:shd w:val="clear" w:color="auto" w:fill="auto"/>
            <w:noWrap/>
            <w:vAlign w:val="bottom"/>
            <w:hideMark/>
          </w:tcPr>
          <w:p w14:paraId="7C4545E5"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$324 </w:t>
            </w:r>
          </w:p>
        </w:tc>
      </w:tr>
      <w:tr w:rsidR="00C171B1" w:rsidRPr="00664A12" w14:paraId="017631C4" w14:textId="77777777" w:rsidTr="004A1088">
        <w:trPr>
          <w:trHeight w:val="288"/>
        </w:trPr>
        <w:tc>
          <w:tcPr>
            <w:tcW w:w="150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F2E567A"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$16,850 </w:t>
            </w:r>
          </w:p>
        </w:tc>
        <w:tc>
          <w:tcPr>
            <w:tcW w:w="138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1FB84EB4"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$7,463 </w:t>
            </w:r>
          </w:p>
        </w:tc>
        <w:tc>
          <w:tcPr>
            <w:tcW w:w="1116" w:type="dxa"/>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7CB014B2"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$0 </w:t>
            </w:r>
          </w:p>
        </w:tc>
        <w:tc>
          <w:tcPr>
            <w:tcW w:w="1773"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0A16F18B"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$32,950 </w:t>
            </w:r>
          </w:p>
        </w:tc>
        <w:tc>
          <w:tcPr>
            <w:tcW w:w="1344"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14:paraId="2D3D2528"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$196,550 </w:t>
            </w:r>
          </w:p>
        </w:tc>
        <w:tc>
          <w:tcPr>
            <w:tcW w:w="1301" w:type="dxa"/>
            <w:tcBorders>
              <w:top w:val="single" w:sz="4" w:space="0" w:color="auto"/>
              <w:left w:val="single" w:sz="4" w:space="0" w:color="auto"/>
              <w:bottom w:val="single" w:sz="12" w:space="0" w:color="auto"/>
              <w:right w:val="single" w:sz="12" w:space="0" w:color="auto"/>
            </w:tcBorders>
            <w:shd w:val="clear" w:color="auto" w:fill="auto"/>
            <w:noWrap/>
            <w:vAlign w:val="bottom"/>
            <w:hideMark/>
          </w:tcPr>
          <w:p w14:paraId="1DC74A32"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$283 </w:t>
            </w:r>
          </w:p>
        </w:tc>
      </w:tr>
    </w:tbl>
    <w:p w14:paraId="5AEAD0FF" w14:textId="5BEE2E77" w:rsidR="00B408B9" w:rsidRPr="00B408B9" w:rsidRDefault="00B408B9">
      <w:pPr>
        <w:rPr>
          <w:sz w:val="22"/>
          <w:szCs w:val="22"/>
        </w:rPr>
      </w:pPr>
    </w:p>
    <w:tbl>
      <w:tblPr>
        <w:tblW w:w="7860" w:type="dxa"/>
        <w:tblLook w:val="04A0" w:firstRow="1" w:lastRow="0" w:firstColumn="1" w:lastColumn="0" w:noHBand="0" w:noVBand="1"/>
      </w:tblPr>
      <w:tblGrid>
        <w:gridCol w:w="1512"/>
        <w:gridCol w:w="1304"/>
        <w:gridCol w:w="1080"/>
        <w:gridCol w:w="1580"/>
        <w:gridCol w:w="1304"/>
        <w:gridCol w:w="1080"/>
      </w:tblGrid>
      <w:tr w:rsidR="00C171B1" w:rsidRPr="00B408B9" w14:paraId="41AF19B4" w14:textId="77777777" w:rsidTr="001635D2">
        <w:trPr>
          <w:trHeight w:val="699"/>
        </w:trPr>
        <w:tc>
          <w:tcPr>
            <w:tcW w:w="7860" w:type="dxa"/>
            <w:gridSpan w:val="6"/>
            <w:tcBorders>
              <w:top w:val="nil"/>
              <w:left w:val="nil"/>
              <w:bottom w:val="single" w:sz="12" w:space="0" w:color="auto"/>
              <w:right w:val="nil"/>
            </w:tcBorders>
            <w:shd w:val="clear" w:color="auto" w:fill="auto"/>
            <w:vAlign w:val="bottom"/>
            <w:hideMark/>
          </w:tcPr>
          <w:p w14:paraId="7D60A99D" w14:textId="77777777" w:rsidR="00C171B1" w:rsidRPr="00664A12" w:rsidRDefault="00C171B1" w:rsidP="0082258A">
            <w:pPr>
              <w:rPr>
                <w:rFonts w:ascii="Tahoma" w:hAnsi="Tahoma" w:cs="Tahoma"/>
                <w:b/>
                <w:bCs/>
                <w:color w:val="000000"/>
                <w:sz w:val="20"/>
                <w:szCs w:val="22"/>
              </w:rPr>
            </w:pPr>
            <w:r w:rsidRPr="00664A12">
              <w:rPr>
                <w:rFonts w:ascii="Tahoma" w:hAnsi="Tahoma" w:cs="Tahoma"/>
                <w:b/>
                <w:bCs/>
                <w:color w:val="000000"/>
                <w:sz w:val="20"/>
                <w:szCs w:val="22"/>
              </w:rPr>
              <w:lastRenderedPageBreak/>
              <w:t>Example 2</w:t>
            </w:r>
          </w:p>
          <w:p w14:paraId="0057EA38" w14:textId="77777777" w:rsidR="00C44333" w:rsidRPr="00664A12" w:rsidRDefault="00C171B1" w:rsidP="00D56E8C">
            <w:pPr>
              <w:rPr>
                <w:rFonts w:ascii="Tahoma" w:hAnsi="Tahoma" w:cs="Tahoma"/>
                <w:b/>
                <w:bCs/>
                <w:color w:val="000000"/>
                <w:sz w:val="20"/>
                <w:szCs w:val="22"/>
              </w:rPr>
            </w:pPr>
            <w:r w:rsidRPr="00664A12">
              <w:rPr>
                <w:rFonts w:ascii="Tahoma" w:hAnsi="Tahoma" w:cs="Tahoma"/>
                <w:b/>
                <w:bCs/>
                <w:color w:val="000000"/>
                <w:sz w:val="20"/>
                <w:szCs w:val="22"/>
              </w:rPr>
              <w:t>Higher Income County</w:t>
            </w:r>
            <w:r w:rsidR="00D56E8C" w:rsidRPr="00664A12">
              <w:rPr>
                <w:rFonts w:ascii="Tahoma" w:hAnsi="Tahoma" w:cs="Tahoma"/>
                <w:b/>
                <w:bCs/>
                <w:color w:val="000000"/>
                <w:sz w:val="20"/>
                <w:szCs w:val="22"/>
              </w:rPr>
              <w:t xml:space="preserve"> </w:t>
            </w:r>
          </w:p>
          <w:p w14:paraId="47C11553" w14:textId="77777777" w:rsidR="00C171B1" w:rsidRPr="00664A12" w:rsidRDefault="00D56E8C" w:rsidP="0082258A">
            <w:pPr>
              <w:rPr>
                <w:rFonts w:ascii="Tahoma" w:hAnsi="Tahoma" w:cs="Tahoma"/>
                <w:b/>
                <w:bCs/>
                <w:color w:val="000000"/>
                <w:sz w:val="20"/>
                <w:szCs w:val="22"/>
              </w:rPr>
            </w:pPr>
            <w:r w:rsidRPr="00664A12">
              <w:rPr>
                <w:rFonts w:ascii="Tahoma" w:hAnsi="Tahoma" w:cs="Tahoma"/>
                <w:b/>
                <w:bCs/>
                <w:color w:val="000000"/>
                <w:sz w:val="20"/>
                <w:szCs w:val="22"/>
              </w:rPr>
              <w:t>(Median Income = $</w:t>
            </w:r>
            <w:r w:rsidR="00C44333" w:rsidRPr="00664A12">
              <w:rPr>
                <w:rFonts w:ascii="Tahoma" w:hAnsi="Tahoma" w:cs="Tahoma"/>
                <w:b/>
                <w:bCs/>
                <w:color w:val="000000"/>
                <w:sz w:val="20"/>
                <w:szCs w:val="22"/>
              </w:rPr>
              <w:t xml:space="preserve">69,650 </w:t>
            </w:r>
            <w:r w:rsidRPr="00664A12">
              <w:rPr>
                <w:rFonts w:ascii="Tahoma" w:hAnsi="Tahoma" w:cs="Tahoma"/>
                <w:b/>
                <w:bCs/>
                <w:color w:val="000000"/>
                <w:sz w:val="20"/>
                <w:szCs w:val="22"/>
              </w:rPr>
              <w:t>for 4 person Household</w:t>
            </w:r>
            <w:r w:rsidR="002D545B" w:rsidRPr="00664A12">
              <w:rPr>
                <w:rFonts w:ascii="Tahoma" w:hAnsi="Tahoma" w:cs="Tahoma"/>
                <w:b/>
                <w:bCs/>
                <w:color w:val="000000"/>
                <w:sz w:val="20"/>
                <w:szCs w:val="22"/>
              </w:rPr>
              <w:t>)</w:t>
            </w:r>
          </w:p>
          <w:p w14:paraId="555BE6B9" w14:textId="77777777" w:rsidR="00C171B1" w:rsidRPr="00664A12" w:rsidRDefault="00C171B1" w:rsidP="0082258A">
            <w:pPr>
              <w:rPr>
                <w:rFonts w:ascii="Tahoma" w:hAnsi="Tahoma" w:cs="Tahoma"/>
                <w:b/>
                <w:bCs/>
                <w:color w:val="000000"/>
                <w:sz w:val="20"/>
                <w:szCs w:val="22"/>
              </w:rPr>
            </w:pPr>
            <w:r w:rsidRPr="00664A12">
              <w:rPr>
                <w:rFonts w:ascii="Tahoma" w:hAnsi="Tahoma" w:cs="Tahoma"/>
                <w:b/>
                <w:bCs/>
                <w:color w:val="000000"/>
                <w:sz w:val="20"/>
                <w:szCs w:val="22"/>
              </w:rPr>
              <w:t xml:space="preserve">Estimated Taxes and Insurance $7,068 (3 percent of $235,612) </w:t>
            </w:r>
          </w:p>
        </w:tc>
      </w:tr>
      <w:tr w:rsidR="00C171B1" w:rsidRPr="00B408B9" w14:paraId="61B0EFF3" w14:textId="77777777" w:rsidTr="001635D2">
        <w:trPr>
          <w:trHeight w:val="864"/>
        </w:trPr>
        <w:tc>
          <w:tcPr>
            <w:tcW w:w="1512" w:type="dxa"/>
            <w:tcBorders>
              <w:top w:val="single" w:sz="12" w:space="0" w:color="auto"/>
              <w:left w:val="single" w:sz="12" w:space="0" w:color="auto"/>
              <w:bottom w:val="dotted" w:sz="4" w:space="0" w:color="auto"/>
              <w:right w:val="dotted" w:sz="4" w:space="0" w:color="auto"/>
            </w:tcBorders>
            <w:shd w:val="clear" w:color="auto" w:fill="auto"/>
            <w:vAlign w:val="bottom"/>
            <w:hideMark/>
          </w:tcPr>
          <w:p w14:paraId="7579E7B4" w14:textId="77777777" w:rsidR="00C171B1" w:rsidRPr="00664A12" w:rsidRDefault="00C171B1" w:rsidP="0082258A">
            <w:pPr>
              <w:rPr>
                <w:rFonts w:ascii="Tahoma" w:hAnsi="Tahoma" w:cs="Tahoma"/>
                <w:b/>
                <w:bCs/>
                <w:color w:val="000000"/>
                <w:sz w:val="20"/>
                <w:szCs w:val="22"/>
              </w:rPr>
            </w:pPr>
            <w:r w:rsidRPr="00664A12">
              <w:rPr>
                <w:rFonts w:ascii="Tahoma" w:hAnsi="Tahoma" w:cs="Tahoma"/>
                <w:b/>
                <w:bCs/>
                <w:color w:val="000000"/>
                <w:sz w:val="20"/>
                <w:szCs w:val="22"/>
              </w:rPr>
              <w:t>Very Low-Income Households</w:t>
            </w:r>
          </w:p>
        </w:tc>
        <w:tc>
          <w:tcPr>
            <w:tcW w:w="1304" w:type="dxa"/>
            <w:tcBorders>
              <w:top w:val="single" w:sz="12" w:space="0" w:color="auto"/>
              <w:left w:val="dotted" w:sz="4" w:space="0" w:color="auto"/>
              <w:bottom w:val="dotted" w:sz="4" w:space="0" w:color="auto"/>
              <w:right w:val="dotted" w:sz="4" w:space="0" w:color="auto"/>
            </w:tcBorders>
            <w:shd w:val="clear" w:color="auto" w:fill="auto"/>
            <w:vAlign w:val="bottom"/>
            <w:hideMark/>
          </w:tcPr>
          <w:p w14:paraId="60BAD202" w14:textId="77777777" w:rsidR="00C171B1" w:rsidRPr="00664A12" w:rsidRDefault="00C171B1" w:rsidP="0082258A">
            <w:pPr>
              <w:jc w:val="center"/>
              <w:rPr>
                <w:rFonts w:ascii="Tahoma" w:hAnsi="Tahoma" w:cs="Tahoma"/>
                <w:b/>
                <w:bCs/>
                <w:color w:val="000000"/>
                <w:sz w:val="20"/>
                <w:szCs w:val="22"/>
              </w:rPr>
            </w:pPr>
            <w:r w:rsidRPr="00664A12">
              <w:rPr>
                <w:rFonts w:ascii="Tahoma" w:hAnsi="Tahoma" w:cs="Tahoma"/>
                <w:b/>
                <w:bCs/>
                <w:color w:val="000000"/>
                <w:sz w:val="20"/>
                <w:szCs w:val="22"/>
              </w:rPr>
              <w:t>Maximum Loan Amt</w:t>
            </w:r>
          </w:p>
        </w:tc>
        <w:tc>
          <w:tcPr>
            <w:tcW w:w="1080" w:type="dxa"/>
            <w:tcBorders>
              <w:top w:val="single" w:sz="12" w:space="0" w:color="auto"/>
              <w:left w:val="dotted" w:sz="4" w:space="0" w:color="auto"/>
              <w:bottom w:val="dotted" w:sz="4" w:space="0" w:color="auto"/>
              <w:right w:val="single" w:sz="12" w:space="0" w:color="auto"/>
            </w:tcBorders>
            <w:shd w:val="clear" w:color="auto" w:fill="auto"/>
            <w:vAlign w:val="bottom"/>
            <w:hideMark/>
          </w:tcPr>
          <w:p w14:paraId="7A178D09" w14:textId="77777777" w:rsidR="00C171B1" w:rsidRPr="00664A12" w:rsidRDefault="00C171B1" w:rsidP="0082258A">
            <w:pPr>
              <w:jc w:val="center"/>
              <w:rPr>
                <w:rFonts w:ascii="Tahoma" w:hAnsi="Tahoma" w:cs="Tahoma"/>
                <w:b/>
                <w:bCs/>
                <w:color w:val="000000"/>
                <w:sz w:val="20"/>
                <w:szCs w:val="22"/>
              </w:rPr>
            </w:pPr>
            <w:r w:rsidRPr="00664A12">
              <w:rPr>
                <w:rFonts w:ascii="Tahoma" w:hAnsi="Tahoma" w:cs="Tahoma"/>
                <w:b/>
                <w:bCs/>
                <w:color w:val="000000"/>
                <w:sz w:val="20"/>
                <w:szCs w:val="22"/>
              </w:rPr>
              <w:t>Subsidy per Month</w:t>
            </w:r>
          </w:p>
        </w:tc>
        <w:tc>
          <w:tcPr>
            <w:tcW w:w="1580" w:type="dxa"/>
            <w:tcBorders>
              <w:top w:val="single" w:sz="12" w:space="0" w:color="auto"/>
              <w:left w:val="single" w:sz="12" w:space="0" w:color="auto"/>
              <w:bottom w:val="dotted" w:sz="4" w:space="0" w:color="auto"/>
              <w:right w:val="dotted" w:sz="4" w:space="0" w:color="auto"/>
            </w:tcBorders>
            <w:shd w:val="clear" w:color="auto" w:fill="auto"/>
            <w:vAlign w:val="bottom"/>
            <w:hideMark/>
          </w:tcPr>
          <w:p w14:paraId="748A8B33" w14:textId="77777777" w:rsidR="00C171B1" w:rsidRPr="00664A12" w:rsidRDefault="00C171B1" w:rsidP="0082258A">
            <w:pPr>
              <w:rPr>
                <w:rFonts w:ascii="Tahoma" w:hAnsi="Tahoma" w:cs="Tahoma"/>
                <w:b/>
                <w:bCs/>
                <w:color w:val="000000"/>
                <w:sz w:val="20"/>
                <w:szCs w:val="22"/>
              </w:rPr>
            </w:pPr>
            <w:r w:rsidRPr="00664A12">
              <w:rPr>
                <w:rFonts w:ascii="Tahoma" w:hAnsi="Tahoma" w:cs="Tahoma"/>
                <w:b/>
                <w:bCs/>
                <w:color w:val="000000"/>
                <w:sz w:val="20"/>
                <w:szCs w:val="22"/>
              </w:rPr>
              <w:t>Low-Income Households:</w:t>
            </w:r>
          </w:p>
        </w:tc>
        <w:tc>
          <w:tcPr>
            <w:tcW w:w="1304" w:type="dxa"/>
            <w:tcBorders>
              <w:top w:val="single" w:sz="12" w:space="0" w:color="auto"/>
              <w:left w:val="dotted" w:sz="4" w:space="0" w:color="auto"/>
              <w:bottom w:val="dotted" w:sz="4" w:space="0" w:color="auto"/>
              <w:right w:val="dotted" w:sz="4" w:space="0" w:color="auto"/>
            </w:tcBorders>
            <w:shd w:val="clear" w:color="auto" w:fill="auto"/>
            <w:vAlign w:val="bottom"/>
            <w:hideMark/>
          </w:tcPr>
          <w:p w14:paraId="020B2A54" w14:textId="77777777" w:rsidR="00C171B1" w:rsidRPr="00664A12" w:rsidRDefault="00C171B1" w:rsidP="0082258A">
            <w:pPr>
              <w:jc w:val="center"/>
              <w:rPr>
                <w:rFonts w:ascii="Tahoma" w:hAnsi="Tahoma" w:cs="Tahoma"/>
                <w:b/>
                <w:bCs/>
                <w:color w:val="000000"/>
                <w:sz w:val="20"/>
                <w:szCs w:val="22"/>
              </w:rPr>
            </w:pPr>
            <w:r w:rsidRPr="00664A12">
              <w:rPr>
                <w:rFonts w:ascii="Tahoma" w:hAnsi="Tahoma" w:cs="Tahoma"/>
                <w:b/>
                <w:bCs/>
                <w:color w:val="000000"/>
                <w:sz w:val="20"/>
                <w:szCs w:val="22"/>
              </w:rPr>
              <w:t>Maximum Loan Amt</w:t>
            </w:r>
          </w:p>
        </w:tc>
        <w:tc>
          <w:tcPr>
            <w:tcW w:w="1080" w:type="dxa"/>
            <w:tcBorders>
              <w:top w:val="single" w:sz="12" w:space="0" w:color="auto"/>
              <w:left w:val="dotted" w:sz="4" w:space="0" w:color="auto"/>
              <w:bottom w:val="dotted" w:sz="4" w:space="0" w:color="auto"/>
              <w:right w:val="single" w:sz="12" w:space="0" w:color="auto"/>
            </w:tcBorders>
            <w:shd w:val="clear" w:color="auto" w:fill="auto"/>
            <w:vAlign w:val="bottom"/>
            <w:hideMark/>
          </w:tcPr>
          <w:p w14:paraId="0163834E" w14:textId="77777777" w:rsidR="00C171B1" w:rsidRPr="00664A12" w:rsidRDefault="00C171B1" w:rsidP="0082258A">
            <w:pPr>
              <w:jc w:val="center"/>
              <w:rPr>
                <w:rFonts w:ascii="Tahoma" w:hAnsi="Tahoma" w:cs="Tahoma"/>
                <w:b/>
                <w:bCs/>
                <w:color w:val="000000"/>
                <w:sz w:val="20"/>
                <w:szCs w:val="22"/>
              </w:rPr>
            </w:pPr>
            <w:r w:rsidRPr="00664A12">
              <w:rPr>
                <w:rFonts w:ascii="Tahoma" w:hAnsi="Tahoma" w:cs="Tahoma"/>
                <w:b/>
                <w:bCs/>
                <w:color w:val="000000"/>
                <w:sz w:val="20"/>
                <w:szCs w:val="22"/>
              </w:rPr>
              <w:t>Subsidy per Month</w:t>
            </w:r>
          </w:p>
        </w:tc>
      </w:tr>
      <w:tr w:rsidR="00C171B1" w:rsidRPr="00B408B9" w14:paraId="61C648FF" w14:textId="77777777" w:rsidTr="001635D2">
        <w:trPr>
          <w:trHeight w:val="288"/>
        </w:trPr>
        <w:tc>
          <w:tcPr>
            <w:tcW w:w="1512" w:type="dxa"/>
            <w:tcBorders>
              <w:top w:val="dotted" w:sz="4" w:space="0" w:color="auto"/>
              <w:left w:val="single" w:sz="12" w:space="0" w:color="auto"/>
              <w:bottom w:val="dotted" w:sz="4" w:space="0" w:color="auto"/>
              <w:right w:val="dotted" w:sz="4" w:space="0" w:color="auto"/>
            </w:tcBorders>
            <w:shd w:val="clear" w:color="auto" w:fill="auto"/>
            <w:noWrap/>
            <w:vAlign w:val="bottom"/>
            <w:hideMark/>
          </w:tcPr>
          <w:p w14:paraId="5BF218FB"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$34,650 </w:t>
            </w:r>
          </w:p>
        </w:tc>
        <w:tc>
          <w:tcPr>
            <w:tcW w:w="13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1B54EDD" w14:textId="77777777" w:rsidR="00C171B1" w:rsidRPr="00664A12" w:rsidRDefault="00C171B1" w:rsidP="0082258A">
            <w:pPr>
              <w:jc w:val="right"/>
              <w:rPr>
                <w:rFonts w:ascii="Tahoma" w:hAnsi="Tahoma" w:cs="Tahoma"/>
                <w:sz w:val="20"/>
                <w:szCs w:val="22"/>
              </w:rPr>
            </w:pPr>
            <w:r w:rsidRPr="00664A12">
              <w:rPr>
                <w:rFonts w:ascii="Tahoma" w:hAnsi="Tahoma" w:cs="Tahoma"/>
                <w:sz w:val="20"/>
                <w:szCs w:val="22"/>
              </w:rPr>
              <w:t xml:space="preserve">$82,930 </w:t>
            </w:r>
          </w:p>
        </w:tc>
        <w:tc>
          <w:tcPr>
            <w:tcW w:w="1080" w:type="dxa"/>
            <w:tcBorders>
              <w:top w:val="dotted" w:sz="4" w:space="0" w:color="auto"/>
              <w:left w:val="dotted" w:sz="4" w:space="0" w:color="auto"/>
              <w:bottom w:val="dotted" w:sz="4" w:space="0" w:color="auto"/>
              <w:right w:val="single" w:sz="12" w:space="0" w:color="auto"/>
            </w:tcBorders>
            <w:shd w:val="clear" w:color="auto" w:fill="auto"/>
            <w:noWrap/>
            <w:vAlign w:val="bottom"/>
            <w:hideMark/>
          </w:tcPr>
          <w:p w14:paraId="539F73E3" w14:textId="77777777" w:rsidR="00C171B1" w:rsidRPr="00664A12" w:rsidRDefault="00C171B1" w:rsidP="0082258A">
            <w:pPr>
              <w:jc w:val="right"/>
              <w:rPr>
                <w:rFonts w:ascii="Tahoma" w:hAnsi="Tahoma" w:cs="Tahoma"/>
                <w:sz w:val="20"/>
                <w:szCs w:val="22"/>
              </w:rPr>
            </w:pPr>
            <w:r w:rsidRPr="00664A12">
              <w:rPr>
                <w:rFonts w:ascii="Tahoma" w:hAnsi="Tahoma" w:cs="Tahoma"/>
                <w:sz w:val="20"/>
                <w:szCs w:val="22"/>
              </w:rPr>
              <w:t xml:space="preserve">$119 </w:t>
            </w:r>
          </w:p>
        </w:tc>
        <w:tc>
          <w:tcPr>
            <w:tcW w:w="1580" w:type="dxa"/>
            <w:tcBorders>
              <w:top w:val="dotted" w:sz="4" w:space="0" w:color="auto"/>
              <w:left w:val="single" w:sz="12" w:space="0" w:color="auto"/>
              <w:bottom w:val="dotted" w:sz="4" w:space="0" w:color="auto"/>
              <w:right w:val="dotted" w:sz="4" w:space="0" w:color="auto"/>
            </w:tcBorders>
            <w:shd w:val="clear" w:color="auto" w:fill="auto"/>
            <w:noWrap/>
            <w:vAlign w:val="bottom"/>
            <w:hideMark/>
          </w:tcPr>
          <w:p w14:paraId="272DB232" w14:textId="77777777" w:rsidR="00C171B1" w:rsidRPr="00664A12" w:rsidRDefault="00C171B1" w:rsidP="0082258A">
            <w:pPr>
              <w:jc w:val="right"/>
              <w:rPr>
                <w:rFonts w:ascii="Tahoma" w:hAnsi="Tahoma" w:cs="Tahoma"/>
                <w:sz w:val="20"/>
                <w:szCs w:val="22"/>
              </w:rPr>
            </w:pPr>
            <w:r w:rsidRPr="00664A12">
              <w:rPr>
                <w:rFonts w:ascii="Tahoma" w:hAnsi="Tahoma" w:cs="Tahoma"/>
                <w:sz w:val="20"/>
                <w:szCs w:val="22"/>
              </w:rPr>
              <w:t xml:space="preserve">$55,450 </w:t>
            </w:r>
          </w:p>
        </w:tc>
        <w:tc>
          <w:tcPr>
            <w:tcW w:w="13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F19DCC4" w14:textId="77777777" w:rsidR="00C171B1" w:rsidRPr="00664A12" w:rsidRDefault="00C171B1" w:rsidP="0082258A">
            <w:pPr>
              <w:jc w:val="right"/>
              <w:rPr>
                <w:rFonts w:ascii="Tahoma" w:hAnsi="Tahoma" w:cs="Tahoma"/>
                <w:sz w:val="20"/>
                <w:szCs w:val="22"/>
              </w:rPr>
            </w:pPr>
            <w:r w:rsidRPr="00664A12">
              <w:rPr>
                <w:rFonts w:ascii="Tahoma" w:hAnsi="Tahoma" w:cs="Tahoma"/>
                <w:sz w:val="20"/>
                <w:szCs w:val="22"/>
              </w:rPr>
              <w:t xml:space="preserve">$314,620 </w:t>
            </w:r>
          </w:p>
        </w:tc>
        <w:tc>
          <w:tcPr>
            <w:tcW w:w="1080" w:type="dxa"/>
            <w:tcBorders>
              <w:top w:val="dotted" w:sz="4" w:space="0" w:color="auto"/>
              <w:left w:val="dotted" w:sz="4" w:space="0" w:color="auto"/>
              <w:bottom w:val="dotted" w:sz="4" w:space="0" w:color="auto"/>
              <w:right w:val="single" w:sz="12" w:space="0" w:color="auto"/>
            </w:tcBorders>
            <w:shd w:val="clear" w:color="auto" w:fill="auto"/>
            <w:noWrap/>
            <w:vAlign w:val="bottom"/>
            <w:hideMark/>
          </w:tcPr>
          <w:p w14:paraId="3E37124F"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$453 </w:t>
            </w:r>
          </w:p>
        </w:tc>
      </w:tr>
      <w:tr w:rsidR="00C171B1" w:rsidRPr="00B408B9" w14:paraId="04613F18" w14:textId="77777777" w:rsidTr="001635D2">
        <w:trPr>
          <w:trHeight w:val="288"/>
        </w:trPr>
        <w:tc>
          <w:tcPr>
            <w:tcW w:w="1512" w:type="dxa"/>
            <w:tcBorders>
              <w:top w:val="dotted" w:sz="4" w:space="0" w:color="auto"/>
              <w:left w:val="single" w:sz="12" w:space="0" w:color="auto"/>
              <w:bottom w:val="dotted" w:sz="4" w:space="0" w:color="auto"/>
              <w:right w:val="dotted" w:sz="4" w:space="0" w:color="auto"/>
            </w:tcBorders>
            <w:shd w:val="clear" w:color="auto" w:fill="auto"/>
            <w:noWrap/>
            <w:vAlign w:val="bottom"/>
            <w:hideMark/>
          </w:tcPr>
          <w:p w14:paraId="0EEB58D9"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$33,650 </w:t>
            </w:r>
          </w:p>
        </w:tc>
        <w:tc>
          <w:tcPr>
            <w:tcW w:w="13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75BC3A1F" w14:textId="77777777" w:rsidR="00C171B1" w:rsidRPr="00664A12" w:rsidRDefault="00C171B1" w:rsidP="0082258A">
            <w:pPr>
              <w:jc w:val="right"/>
              <w:rPr>
                <w:rFonts w:ascii="Tahoma" w:hAnsi="Tahoma" w:cs="Tahoma"/>
                <w:sz w:val="20"/>
                <w:szCs w:val="22"/>
              </w:rPr>
            </w:pPr>
            <w:r w:rsidRPr="00664A12">
              <w:rPr>
                <w:rFonts w:ascii="Tahoma" w:hAnsi="Tahoma" w:cs="Tahoma"/>
                <w:sz w:val="20"/>
                <w:szCs w:val="22"/>
              </w:rPr>
              <w:t xml:space="preserve">$75,590 </w:t>
            </w:r>
          </w:p>
        </w:tc>
        <w:tc>
          <w:tcPr>
            <w:tcW w:w="1080" w:type="dxa"/>
            <w:tcBorders>
              <w:top w:val="dotted" w:sz="4" w:space="0" w:color="auto"/>
              <w:left w:val="dotted" w:sz="4" w:space="0" w:color="auto"/>
              <w:bottom w:val="dotted" w:sz="4" w:space="0" w:color="auto"/>
              <w:right w:val="single" w:sz="12" w:space="0" w:color="auto"/>
            </w:tcBorders>
            <w:shd w:val="clear" w:color="auto" w:fill="auto"/>
            <w:noWrap/>
            <w:vAlign w:val="bottom"/>
            <w:hideMark/>
          </w:tcPr>
          <w:p w14:paraId="510EA76E" w14:textId="77777777" w:rsidR="00C171B1" w:rsidRPr="00664A12" w:rsidRDefault="00C171B1" w:rsidP="0082258A">
            <w:pPr>
              <w:jc w:val="right"/>
              <w:rPr>
                <w:rFonts w:ascii="Tahoma" w:hAnsi="Tahoma" w:cs="Tahoma"/>
                <w:sz w:val="20"/>
                <w:szCs w:val="22"/>
              </w:rPr>
            </w:pPr>
            <w:r w:rsidRPr="00664A12">
              <w:rPr>
                <w:rFonts w:ascii="Tahoma" w:hAnsi="Tahoma" w:cs="Tahoma"/>
                <w:sz w:val="20"/>
                <w:szCs w:val="22"/>
              </w:rPr>
              <w:t xml:space="preserve">$109 </w:t>
            </w:r>
          </w:p>
        </w:tc>
        <w:tc>
          <w:tcPr>
            <w:tcW w:w="1580" w:type="dxa"/>
            <w:tcBorders>
              <w:top w:val="dotted" w:sz="4" w:space="0" w:color="auto"/>
              <w:left w:val="single" w:sz="12" w:space="0" w:color="auto"/>
              <w:bottom w:val="dotted" w:sz="4" w:space="0" w:color="auto"/>
              <w:right w:val="dotted" w:sz="4" w:space="0" w:color="auto"/>
            </w:tcBorders>
            <w:shd w:val="clear" w:color="auto" w:fill="auto"/>
            <w:noWrap/>
            <w:vAlign w:val="bottom"/>
            <w:hideMark/>
          </w:tcPr>
          <w:p w14:paraId="3A39FDA7" w14:textId="77777777" w:rsidR="00C171B1" w:rsidRPr="00664A12" w:rsidRDefault="00C171B1" w:rsidP="0082258A">
            <w:pPr>
              <w:jc w:val="right"/>
              <w:rPr>
                <w:rFonts w:ascii="Tahoma" w:hAnsi="Tahoma" w:cs="Tahoma"/>
                <w:sz w:val="20"/>
                <w:szCs w:val="22"/>
              </w:rPr>
            </w:pPr>
            <w:r w:rsidRPr="00664A12">
              <w:rPr>
                <w:rFonts w:ascii="Tahoma" w:hAnsi="Tahoma" w:cs="Tahoma"/>
                <w:sz w:val="20"/>
                <w:szCs w:val="22"/>
              </w:rPr>
              <w:t xml:space="preserve">$54,450 </w:t>
            </w:r>
          </w:p>
        </w:tc>
        <w:tc>
          <w:tcPr>
            <w:tcW w:w="13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DC4CF93" w14:textId="77777777" w:rsidR="00C171B1" w:rsidRPr="00664A12" w:rsidRDefault="00C171B1" w:rsidP="0082258A">
            <w:pPr>
              <w:jc w:val="right"/>
              <w:rPr>
                <w:rFonts w:ascii="Tahoma" w:hAnsi="Tahoma" w:cs="Tahoma"/>
                <w:sz w:val="20"/>
                <w:szCs w:val="22"/>
              </w:rPr>
            </w:pPr>
            <w:r w:rsidRPr="00664A12">
              <w:rPr>
                <w:rFonts w:ascii="Tahoma" w:hAnsi="Tahoma" w:cs="Tahoma"/>
                <w:sz w:val="20"/>
                <w:szCs w:val="22"/>
              </w:rPr>
              <w:t xml:space="preserve">$306,280 </w:t>
            </w:r>
          </w:p>
        </w:tc>
        <w:tc>
          <w:tcPr>
            <w:tcW w:w="1080" w:type="dxa"/>
            <w:tcBorders>
              <w:top w:val="dotted" w:sz="4" w:space="0" w:color="auto"/>
              <w:left w:val="dotted" w:sz="4" w:space="0" w:color="auto"/>
              <w:bottom w:val="dotted" w:sz="4" w:space="0" w:color="auto"/>
              <w:right w:val="single" w:sz="12" w:space="0" w:color="auto"/>
            </w:tcBorders>
            <w:shd w:val="clear" w:color="auto" w:fill="auto"/>
            <w:noWrap/>
            <w:vAlign w:val="bottom"/>
            <w:hideMark/>
          </w:tcPr>
          <w:p w14:paraId="625C276C"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$441 </w:t>
            </w:r>
          </w:p>
        </w:tc>
      </w:tr>
      <w:tr w:rsidR="00C171B1" w:rsidRPr="00B408B9" w14:paraId="637E7B88" w14:textId="77777777" w:rsidTr="001635D2">
        <w:trPr>
          <w:trHeight w:val="288"/>
        </w:trPr>
        <w:tc>
          <w:tcPr>
            <w:tcW w:w="1512" w:type="dxa"/>
            <w:tcBorders>
              <w:top w:val="dotted" w:sz="4" w:space="0" w:color="auto"/>
              <w:left w:val="single" w:sz="12" w:space="0" w:color="auto"/>
              <w:bottom w:val="dotted" w:sz="4" w:space="0" w:color="auto"/>
              <w:right w:val="dotted" w:sz="4" w:space="0" w:color="auto"/>
            </w:tcBorders>
            <w:shd w:val="clear" w:color="auto" w:fill="auto"/>
            <w:noWrap/>
            <w:vAlign w:val="bottom"/>
            <w:hideMark/>
          </w:tcPr>
          <w:p w14:paraId="21BE1B91"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$32,150 </w:t>
            </w:r>
          </w:p>
        </w:tc>
        <w:tc>
          <w:tcPr>
            <w:tcW w:w="13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53444B9" w14:textId="77777777" w:rsidR="00C171B1" w:rsidRPr="00664A12" w:rsidRDefault="00C171B1" w:rsidP="0082258A">
            <w:pPr>
              <w:jc w:val="right"/>
              <w:rPr>
                <w:rFonts w:ascii="Tahoma" w:hAnsi="Tahoma" w:cs="Tahoma"/>
                <w:sz w:val="20"/>
                <w:szCs w:val="22"/>
              </w:rPr>
            </w:pPr>
            <w:r w:rsidRPr="00664A12">
              <w:rPr>
                <w:rFonts w:ascii="Tahoma" w:hAnsi="Tahoma" w:cs="Tahoma"/>
                <w:sz w:val="20"/>
                <w:szCs w:val="22"/>
              </w:rPr>
              <w:t xml:space="preserve">$63,370 </w:t>
            </w:r>
          </w:p>
        </w:tc>
        <w:tc>
          <w:tcPr>
            <w:tcW w:w="1080" w:type="dxa"/>
            <w:tcBorders>
              <w:top w:val="dotted" w:sz="4" w:space="0" w:color="auto"/>
              <w:left w:val="dotted" w:sz="4" w:space="0" w:color="auto"/>
              <w:bottom w:val="dotted" w:sz="4" w:space="0" w:color="auto"/>
              <w:right w:val="single" w:sz="12" w:space="0" w:color="auto"/>
            </w:tcBorders>
            <w:shd w:val="clear" w:color="auto" w:fill="auto"/>
            <w:noWrap/>
            <w:vAlign w:val="bottom"/>
            <w:hideMark/>
          </w:tcPr>
          <w:p w14:paraId="113D25C8" w14:textId="77777777" w:rsidR="00C171B1" w:rsidRPr="00664A12" w:rsidRDefault="00C171B1" w:rsidP="0082258A">
            <w:pPr>
              <w:jc w:val="right"/>
              <w:rPr>
                <w:rFonts w:ascii="Tahoma" w:hAnsi="Tahoma" w:cs="Tahoma"/>
                <w:sz w:val="20"/>
                <w:szCs w:val="22"/>
              </w:rPr>
            </w:pPr>
            <w:r w:rsidRPr="00664A12">
              <w:rPr>
                <w:rFonts w:ascii="Tahoma" w:hAnsi="Tahoma" w:cs="Tahoma"/>
                <w:sz w:val="20"/>
                <w:szCs w:val="22"/>
              </w:rPr>
              <w:t xml:space="preserve">$91 </w:t>
            </w:r>
          </w:p>
        </w:tc>
        <w:tc>
          <w:tcPr>
            <w:tcW w:w="1580" w:type="dxa"/>
            <w:tcBorders>
              <w:top w:val="dotted" w:sz="4" w:space="0" w:color="auto"/>
              <w:left w:val="single" w:sz="12" w:space="0" w:color="auto"/>
              <w:bottom w:val="dotted" w:sz="4" w:space="0" w:color="auto"/>
              <w:right w:val="dotted" w:sz="4" w:space="0" w:color="auto"/>
            </w:tcBorders>
            <w:shd w:val="clear" w:color="auto" w:fill="auto"/>
            <w:noWrap/>
            <w:vAlign w:val="bottom"/>
            <w:hideMark/>
          </w:tcPr>
          <w:p w14:paraId="71DF2273" w14:textId="77777777" w:rsidR="00C171B1" w:rsidRPr="00664A12" w:rsidRDefault="00C171B1" w:rsidP="0082258A">
            <w:pPr>
              <w:jc w:val="right"/>
              <w:rPr>
                <w:rFonts w:ascii="Tahoma" w:hAnsi="Tahoma" w:cs="Tahoma"/>
                <w:sz w:val="20"/>
                <w:szCs w:val="22"/>
              </w:rPr>
            </w:pPr>
            <w:r w:rsidRPr="00664A12">
              <w:rPr>
                <w:rFonts w:ascii="Tahoma" w:hAnsi="Tahoma" w:cs="Tahoma"/>
                <w:sz w:val="20"/>
                <w:szCs w:val="22"/>
              </w:rPr>
              <w:t xml:space="preserve">$52,950 </w:t>
            </w:r>
          </w:p>
        </w:tc>
        <w:tc>
          <w:tcPr>
            <w:tcW w:w="13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183989D8" w14:textId="77777777" w:rsidR="00C171B1" w:rsidRPr="00664A12" w:rsidRDefault="00C171B1" w:rsidP="0082258A">
            <w:pPr>
              <w:jc w:val="right"/>
              <w:rPr>
                <w:rFonts w:ascii="Tahoma" w:hAnsi="Tahoma" w:cs="Tahoma"/>
                <w:sz w:val="20"/>
                <w:szCs w:val="22"/>
              </w:rPr>
            </w:pPr>
            <w:r w:rsidRPr="00664A12">
              <w:rPr>
                <w:rFonts w:ascii="Tahoma" w:hAnsi="Tahoma" w:cs="Tahoma"/>
                <w:sz w:val="20"/>
                <w:szCs w:val="22"/>
              </w:rPr>
              <w:t xml:space="preserve">$292,370 </w:t>
            </w:r>
          </w:p>
        </w:tc>
        <w:tc>
          <w:tcPr>
            <w:tcW w:w="1080" w:type="dxa"/>
            <w:tcBorders>
              <w:top w:val="dotted" w:sz="4" w:space="0" w:color="auto"/>
              <w:left w:val="dotted" w:sz="4" w:space="0" w:color="auto"/>
              <w:bottom w:val="dotted" w:sz="4" w:space="0" w:color="auto"/>
              <w:right w:val="single" w:sz="12" w:space="0" w:color="auto"/>
            </w:tcBorders>
            <w:shd w:val="clear" w:color="auto" w:fill="auto"/>
            <w:noWrap/>
            <w:vAlign w:val="bottom"/>
            <w:hideMark/>
          </w:tcPr>
          <w:p w14:paraId="7269E4E1"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$421 </w:t>
            </w:r>
          </w:p>
        </w:tc>
      </w:tr>
      <w:tr w:rsidR="00C171B1" w:rsidRPr="00B408B9" w14:paraId="6B981903" w14:textId="77777777" w:rsidTr="001635D2">
        <w:trPr>
          <w:trHeight w:val="288"/>
        </w:trPr>
        <w:tc>
          <w:tcPr>
            <w:tcW w:w="1512" w:type="dxa"/>
            <w:tcBorders>
              <w:top w:val="dotted" w:sz="4" w:space="0" w:color="auto"/>
              <w:left w:val="single" w:sz="12" w:space="0" w:color="auto"/>
              <w:bottom w:val="dotted" w:sz="4" w:space="0" w:color="auto"/>
              <w:right w:val="dotted" w:sz="4" w:space="0" w:color="auto"/>
            </w:tcBorders>
            <w:shd w:val="clear" w:color="auto" w:fill="auto"/>
            <w:noWrap/>
            <w:vAlign w:val="bottom"/>
            <w:hideMark/>
          </w:tcPr>
          <w:p w14:paraId="0655EA8D"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$29,650 </w:t>
            </w:r>
          </w:p>
        </w:tc>
        <w:tc>
          <w:tcPr>
            <w:tcW w:w="13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2913C40B" w14:textId="77777777" w:rsidR="00C171B1" w:rsidRPr="00664A12" w:rsidRDefault="00C171B1" w:rsidP="0082258A">
            <w:pPr>
              <w:jc w:val="right"/>
              <w:rPr>
                <w:rFonts w:ascii="Tahoma" w:hAnsi="Tahoma" w:cs="Tahoma"/>
                <w:sz w:val="20"/>
                <w:szCs w:val="22"/>
              </w:rPr>
            </w:pPr>
            <w:r w:rsidRPr="00664A12">
              <w:rPr>
                <w:rFonts w:ascii="Tahoma" w:hAnsi="Tahoma" w:cs="Tahoma"/>
                <w:sz w:val="20"/>
                <w:szCs w:val="22"/>
              </w:rPr>
              <w:t xml:space="preserve">$43,000 </w:t>
            </w:r>
          </w:p>
        </w:tc>
        <w:tc>
          <w:tcPr>
            <w:tcW w:w="1080" w:type="dxa"/>
            <w:tcBorders>
              <w:top w:val="dotted" w:sz="4" w:space="0" w:color="auto"/>
              <w:left w:val="dotted" w:sz="4" w:space="0" w:color="auto"/>
              <w:bottom w:val="dotted" w:sz="4" w:space="0" w:color="auto"/>
              <w:right w:val="single" w:sz="12" w:space="0" w:color="auto"/>
            </w:tcBorders>
            <w:shd w:val="clear" w:color="auto" w:fill="auto"/>
            <w:noWrap/>
            <w:vAlign w:val="bottom"/>
            <w:hideMark/>
          </w:tcPr>
          <w:p w14:paraId="7654A2E6" w14:textId="77777777" w:rsidR="00C171B1" w:rsidRPr="00664A12" w:rsidRDefault="00C171B1" w:rsidP="0082258A">
            <w:pPr>
              <w:jc w:val="right"/>
              <w:rPr>
                <w:rFonts w:ascii="Tahoma" w:hAnsi="Tahoma" w:cs="Tahoma"/>
                <w:sz w:val="20"/>
                <w:szCs w:val="22"/>
              </w:rPr>
            </w:pPr>
            <w:r w:rsidRPr="00664A12">
              <w:rPr>
                <w:rFonts w:ascii="Tahoma" w:hAnsi="Tahoma" w:cs="Tahoma"/>
                <w:sz w:val="20"/>
                <w:szCs w:val="22"/>
              </w:rPr>
              <w:t xml:space="preserve">$62 </w:t>
            </w:r>
          </w:p>
        </w:tc>
        <w:tc>
          <w:tcPr>
            <w:tcW w:w="1580" w:type="dxa"/>
            <w:tcBorders>
              <w:top w:val="dotted" w:sz="4" w:space="0" w:color="auto"/>
              <w:left w:val="single" w:sz="12" w:space="0" w:color="auto"/>
              <w:bottom w:val="dotted" w:sz="4" w:space="0" w:color="auto"/>
              <w:right w:val="dotted" w:sz="4" w:space="0" w:color="auto"/>
            </w:tcBorders>
            <w:shd w:val="clear" w:color="auto" w:fill="auto"/>
            <w:noWrap/>
            <w:vAlign w:val="bottom"/>
            <w:hideMark/>
          </w:tcPr>
          <w:p w14:paraId="27FA47A5" w14:textId="77777777" w:rsidR="00C171B1" w:rsidRPr="00664A12" w:rsidRDefault="00C171B1" w:rsidP="0082258A">
            <w:pPr>
              <w:jc w:val="right"/>
              <w:rPr>
                <w:rFonts w:ascii="Tahoma" w:hAnsi="Tahoma" w:cs="Tahoma"/>
                <w:sz w:val="20"/>
                <w:szCs w:val="22"/>
              </w:rPr>
            </w:pPr>
            <w:r w:rsidRPr="00664A12">
              <w:rPr>
                <w:rFonts w:ascii="Tahoma" w:hAnsi="Tahoma" w:cs="Tahoma"/>
                <w:sz w:val="20"/>
                <w:szCs w:val="22"/>
              </w:rPr>
              <w:t xml:space="preserve">$50,450 </w:t>
            </w:r>
          </w:p>
        </w:tc>
        <w:tc>
          <w:tcPr>
            <w:tcW w:w="13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479B429B" w14:textId="77777777" w:rsidR="00C171B1" w:rsidRPr="00664A12" w:rsidRDefault="00C171B1" w:rsidP="0082258A">
            <w:pPr>
              <w:jc w:val="right"/>
              <w:rPr>
                <w:rFonts w:ascii="Tahoma" w:hAnsi="Tahoma" w:cs="Tahoma"/>
                <w:sz w:val="20"/>
                <w:szCs w:val="22"/>
              </w:rPr>
            </w:pPr>
            <w:r w:rsidRPr="00664A12">
              <w:rPr>
                <w:rFonts w:ascii="Tahoma" w:hAnsi="Tahoma" w:cs="Tahoma"/>
                <w:sz w:val="20"/>
                <w:szCs w:val="22"/>
              </w:rPr>
              <w:t xml:space="preserve">$269,190 </w:t>
            </w:r>
          </w:p>
        </w:tc>
        <w:tc>
          <w:tcPr>
            <w:tcW w:w="1080" w:type="dxa"/>
            <w:tcBorders>
              <w:top w:val="dotted" w:sz="4" w:space="0" w:color="auto"/>
              <w:left w:val="dotted" w:sz="4" w:space="0" w:color="auto"/>
              <w:bottom w:val="dotted" w:sz="4" w:space="0" w:color="auto"/>
              <w:right w:val="single" w:sz="12" w:space="0" w:color="auto"/>
            </w:tcBorders>
            <w:shd w:val="clear" w:color="auto" w:fill="auto"/>
            <w:noWrap/>
            <w:vAlign w:val="bottom"/>
            <w:hideMark/>
          </w:tcPr>
          <w:p w14:paraId="2A5720F5"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$388 </w:t>
            </w:r>
          </w:p>
        </w:tc>
      </w:tr>
      <w:tr w:rsidR="00C171B1" w:rsidRPr="00B408B9" w14:paraId="6B060993" w14:textId="77777777" w:rsidTr="001635D2">
        <w:trPr>
          <w:trHeight w:val="288"/>
        </w:trPr>
        <w:tc>
          <w:tcPr>
            <w:tcW w:w="1512" w:type="dxa"/>
            <w:tcBorders>
              <w:top w:val="dotted" w:sz="4" w:space="0" w:color="auto"/>
              <w:left w:val="single" w:sz="12" w:space="0" w:color="auto"/>
              <w:bottom w:val="dotted" w:sz="4" w:space="0" w:color="auto"/>
              <w:right w:val="dotted" w:sz="4" w:space="0" w:color="auto"/>
            </w:tcBorders>
            <w:shd w:val="clear" w:color="auto" w:fill="auto"/>
            <w:noWrap/>
            <w:vAlign w:val="bottom"/>
            <w:hideMark/>
          </w:tcPr>
          <w:p w14:paraId="45048944"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$27,150 </w:t>
            </w:r>
          </w:p>
        </w:tc>
        <w:tc>
          <w:tcPr>
            <w:tcW w:w="13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A12D53C" w14:textId="77777777" w:rsidR="00C171B1" w:rsidRPr="00664A12" w:rsidRDefault="00C171B1" w:rsidP="0082258A">
            <w:pPr>
              <w:jc w:val="right"/>
              <w:rPr>
                <w:rFonts w:ascii="Tahoma" w:hAnsi="Tahoma" w:cs="Tahoma"/>
                <w:sz w:val="20"/>
                <w:szCs w:val="22"/>
              </w:rPr>
            </w:pPr>
            <w:r w:rsidRPr="00664A12">
              <w:rPr>
                <w:rFonts w:ascii="Tahoma" w:hAnsi="Tahoma" w:cs="Tahoma"/>
                <w:sz w:val="20"/>
                <w:szCs w:val="22"/>
              </w:rPr>
              <w:t xml:space="preserve">$22,630 </w:t>
            </w:r>
          </w:p>
        </w:tc>
        <w:tc>
          <w:tcPr>
            <w:tcW w:w="1080" w:type="dxa"/>
            <w:tcBorders>
              <w:top w:val="dotted" w:sz="4" w:space="0" w:color="auto"/>
              <w:left w:val="dotted" w:sz="4" w:space="0" w:color="auto"/>
              <w:bottom w:val="dotted" w:sz="4" w:space="0" w:color="auto"/>
              <w:right w:val="single" w:sz="12" w:space="0" w:color="auto"/>
            </w:tcBorders>
            <w:shd w:val="clear" w:color="auto" w:fill="auto"/>
            <w:noWrap/>
            <w:vAlign w:val="bottom"/>
            <w:hideMark/>
          </w:tcPr>
          <w:p w14:paraId="1F8B4F57" w14:textId="77777777" w:rsidR="00C171B1" w:rsidRPr="00664A12" w:rsidRDefault="00C171B1" w:rsidP="0082258A">
            <w:pPr>
              <w:jc w:val="right"/>
              <w:rPr>
                <w:rFonts w:ascii="Tahoma" w:hAnsi="Tahoma" w:cs="Tahoma"/>
                <w:sz w:val="20"/>
                <w:szCs w:val="22"/>
              </w:rPr>
            </w:pPr>
            <w:r w:rsidRPr="00664A12">
              <w:rPr>
                <w:rFonts w:ascii="Tahoma" w:hAnsi="Tahoma" w:cs="Tahoma"/>
                <w:sz w:val="20"/>
                <w:szCs w:val="22"/>
              </w:rPr>
              <w:t xml:space="preserve">$33 </w:t>
            </w:r>
          </w:p>
        </w:tc>
        <w:tc>
          <w:tcPr>
            <w:tcW w:w="1580" w:type="dxa"/>
            <w:tcBorders>
              <w:top w:val="dotted" w:sz="4" w:space="0" w:color="auto"/>
              <w:left w:val="single" w:sz="12" w:space="0" w:color="auto"/>
              <w:bottom w:val="dotted" w:sz="4" w:space="0" w:color="auto"/>
              <w:right w:val="dotted" w:sz="4" w:space="0" w:color="auto"/>
            </w:tcBorders>
            <w:shd w:val="clear" w:color="auto" w:fill="auto"/>
            <w:noWrap/>
            <w:vAlign w:val="bottom"/>
            <w:hideMark/>
          </w:tcPr>
          <w:p w14:paraId="3E6F8FB4" w14:textId="77777777" w:rsidR="00C171B1" w:rsidRPr="00664A12" w:rsidRDefault="00C171B1" w:rsidP="0082258A">
            <w:pPr>
              <w:jc w:val="right"/>
              <w:rPr>
                <w:rFonts w:ascii="Tahoma" w:hAnsi="Tahoma" w:cs="Tahoma"/>
                <w:sz w:val="20"/>
                <w:szCs w:val="22"/>
              </w:rPr>
            </w:pPr>
            <w:r w:rsidRPr="00664A12">
              <w:rPr>
                <w:rFonts w:ascii="Tahoma" w:hAnsi="Tahoma" w:cs="Tahoma"/>
                <w:sz w:val="20"/>
                <w:szCs w:val="22"/>
              </w:rPr>
              <w:t xml:space="preserve">$47,950 </w:t>
            </w:r>
          </w:p>
        </w:tc>
        <w:tc>
          <w:tcPr>
            <w:tcW w:w="1304" w:type="dxa"/>
            <w:tcBorders>
              <w:top w:val="dotted" w:sz="4" w:space="0" w:color="auto"/>
              <w:left w:val="dotted" w:sz="4" w:space="0" w:color="auto"/>
              <w:bottom w:val="dotted" w:sz="4" w:space="0" w:color="auto"/>
              <w:right w:val="dotted" w:sz="4" w:space="0" w:color="auto"/>
            </w:tcBorders>
            <w:shd w:val="clear" w:color="auto" w:fill="auto"/>
            <w:noWrap/>
            <w:vAlign w:val="bottom"/>
            <w:hideMark/>
          </w:tcPr>
          <w:p w14:paraId="58E8B0B9" w14:textId="77777777" w:rsidR="00C171B1" w:rsidRPr="00664A12" w:rsidRDefault="00C171B1" w:rsidP="0082258A">
            <w:pPr>
              <w:jc w:val="right"/>
              <w:rPr>
                <w:rFonts w:ascii="Tahoma" w:hAnsi="Tahoma" w:cs="Tahoma"/>
                <w:sz w:val="20"/>
                <w:szCs w:val="22"/>
              </w:rPr>
            </w:pPr>
            <w:r w:rsidRPr="00664A12">
              <w:rPr>
                <w:rFonts w:ascii="Tahoma" w:hAnsi="Tahoma" w:cs="Tahoma"/>
                <w:sz w:val="20"/>
                <w:szCs w:val="22"/>
              </w:rPr>
              <w:t xml:space="preserve">$246,010 </w:t>
            </w:r>
          </w:p>
        </w:tc>
        <w:tc>
          <w:tcPr>
            <w:tcW w:w="1080" w:type="dxa"/>
            <w:tcBorders>
              <w:top w:val="dotted" w:sz="4" w:space="0" w:color="auto"/>
              <w:left w:val="dotted" w:sz="4" w:space="0" w:color="auto"/>
              <w:bottom w:val="dotted" w:sz="4" w:space="0" w:color="auto"/>
              <w:right w:val="single" w:sz="12" w:space="0" w:color="auto"/>
            </w:tcBorders>
            <w:shd w:val="clear" w:color="auto" w:fill="auto"/>
            <w:noWrap/>
            <w:vAlign w:val="bottom"/>
            <w:hideMark/>
          </w:tcPr>
          <w:p w14:paraId="71D09C38"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$354 </w:t>
            </w:r>
          </w:p>
        </w:tc>
      </w:tr>
      <w:tr w:rsidR="00C171B1" w:rsidRPr="00B408B9" w14:paraId="2C68AE55" w14:textId="77777777" w:rsidTr="001635D2">
        <w:trPr>
          <w:trHeight w:val="288"/>
        </w:trPr>
        <w:tc>
          <w:tcPr>
            <w:tcW w:w="1512" w:type="dxa"/>
            <w:tcBorders>
              <w:top w:val="dotted" w:sz="4" w:space="0" w:color="auto"/>
              <w:left w:val="single" w:sz="12" w:space="0" w:color="auto"/>
              <w:bottom w:val="single" w:sz="12" w:space="0" w:color="auto"/>
              <w:right w:val="dotted" w:sz="4" w:space="0" w:color="auto"/>
            </w:tcBorders>
            <w:shd w:val="clear" w:color="auto" w:fill="auto"/>
            <w:noWrap/>
            <w:vAlign w:val="bottom"/>
            <w:hideMark/>
          </w:tcPr>
          <w:p w14:paraId="61AA48B5"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$24,650 </w:t>
            </w:r>
          </w:p>
        </w:tc>
        <w:tc>
          <w:tcPr>
            <w:tcW w:w="1304" w:type="dxa"/>
            <w:tcBorders>
              <w:top w:val="dotted" w:sz="4" w:space="0" w:color="auto"/>
              <w:left w:val="dotted" w:sz="4" w:space="0" w:color="auto"/>
              <w:bottom w:val="single" w:sz="12" w:space="0" w:color="auto"/>
              <w:right w:val="dotted" w:sz="4" w:space="0" w:color="auto"/>
            </w:tcBorders>
            <w:shd w:val="clear" w:color="auto" w:fill="auto"/>
            <w:noWrap/>
            <w:vAlign w:val="bottom"/>
            <w:hideMark/>
          </w:tcPr>
          <w:p w14:paraId="5CB42EC7" w14:textId="77777777" w:rsidR="00C171B1" w:rsidRPr="00664A12" w:rsidRDefault="00C171B1" w:rsidP="0082258A">
            <w:pPr>
              <w:jc w:val="right"/>
              <w:rPr>
                <w:rFonts w:ascii="Tahoma" w:hAnsi="Tahoma" w:cs="Tahoma"/>
                <w:sz w:val="20"/>
                <w:szCs w:val="22"/>
              </w:rPr>
            </w:pPr>
            <w:r w:rsidRPr="00664A12">
              <w:rPr>
                <w:rFonts w:ascii="Tahoma" w:hAnsi="Tahoma" w:cs="Tahoma"/>
                <w:sz w:val="20"/>
                <w:szCs w:val="22"/>
              </w:rPr>
              <w:t xml:space="preserve">$1,080 </w:t>
            </w:r>
          </w:p>
        </w:tc>
        <w:tc>
          <w:tcPr>
            <w:tcW w:w="1080" w:type="dxa"/>
            <w:tcBorders>
              <w:top w:val="dotted" w:sz="4" w:space="0" w:color="auto"/>
              <w:left w:val="dotted" w:sz="4" w:space="0" w:color="auto"/>
              <w:bottom w:val="single" w:sz="12" w:space="0" w:color="auto"/>
              <w:right w:val="single" w:sz="12" w:space="0" w:color="auto"/>
            </w:tcBorders>
            <w:shd w:val="clear" w:color="auto" w:fill="auto"/>
            <w:noWrap/>
            <w:vAlign w:val="bottom"/>
            <w:hideMark/>
          </w:tcPr>
          <w:p w14:paraId="07737F22" w14:textId="77777777" w:rsidR="00C171B1" w:rsidRPr="00664A12" w:rsidRDefault="00C171B1" w:rsidP="0082258A">
            <w:pPr>
              <w:jc w:val="right"/>
              <w:rPr>
                <w:rFonts w:ascii="Tahoma" w:hAnsi="Tahoma" w:cs="Tahoma"/>
                <w:sz w:val="20"/>
                <w:szCs w:val="22"/>
              </w:rPr>
            </w:pPr>
            <w:r w:rsidRPr="00664A12">
              <w:rPr>
                <w:rFonts w:ascii="Tahoma" w:hAnsi="Tahoma" w:cs="Tahoma"/>
                <w:sz w:val="20"/>
                <w:szCs w:val="22"/>
              </w:rPr>
              <w:t xml:space="preserve">$2 </w:t>
            </w:r>
          </w:p>
        </w:tc>
        <w:tc>
          <w:tcPr>
            <w:tcW w:w="1580" w:type="dxa"/>
            <w:tcBorders>
              <w:top w:val="dotted" w:sz="4" w:space="0" w:color="auto"/>
              <w:left w:val="single" w:sz="12" w:space="0" w:color="auto"/>
              <w:bottom w:val="single" w:sz="12" w:space="0" w:color="auto"/>
              <w:right w:val="dotted" w:sz="4" w:space="0" w:color="auto"/>
            </w:tcBorders>
            <w:shd w:val="clear" w:color="auto" w:fill="auto"/>
            <w:noWrap/>
            <w:vAlign w:val="bottom"/>
            <w:hideMark/>
          </w:tcPr>
          <w:p w14:paraId="74E0F1F9" w14:textId="77777777" w:rsidR="00C171B1" w:rsidRPr="00664A12" w:rsidRDefault="00C171B1" w:rsidP="0082258A">
            <w:pPr>
              <w:jc w:val="right"/>
              <w:rPr>
                <w:rFonts w:ascii="Tahoma" w:hAnsi="Tahoma" w:cs="Tahoma"/>
                <w:sz w:val="20"/>
                <w:szCs w:val="22"/>
              </w:rPr>
            </w:pPr>
            <w:r w:rsidRPr="00664A12">
              <w:rPr>
                <w:rFonts w:ascii="Tahoma" w:hAnsi="Tahoma" w:cs="Tahoma"/>
                <w:sz w:val="20"/>
                <w:szCs w:val="22"/>
              </w:rPr>
              <w:t xml:space="preserve">$45,450 </w:t>
            </w:r>
          </w:p>
        </w:tc>
        <w:tc>
          <w:tcPr>
            <w:tcW w:w="1304" w:type="dxa"/>
            <w:tcBorders>
              <w:top w:val="dotted" w:sz="4" w:space="0" w:color="auto"/>
              <w:left w:val="dotted" w:sz="4" w:space="0" w:color="auto"/>
              <w:bottom w:val="single" w:sz="12" w:space="0" w:color="auto"/>
              <w:right w:val="dotted" w:sz="4" w:space="0" w:color="auto"/>
            </w:tcBorders>
            <w:shd w:val="clear" w:color="auto" w:fill="auto"/>
            <w:noWrap/>
            <w:vAlign w:val="bottom"/>
            <w:hideMark/>
          </w:tcPr>
          <w:p w14:paraId="74AFC741" w14:textId="77777777" w:rsidR="00C171B1" w:rsidRPr="00664A12" w:rsidRDefault="00C171B1" w:rsidP="0082258A">
            <w:pPr>
              <w:jc w:val="right"/>
              <w:rPr>
                <w:rFonts w:ascii="Tahoma" w:hAnsi="Tahoma" w:cs="Tahoma"/>
                <w:sz w:val="20"/>
                <w:szCs w:val="22"/>
              </w:rPr>
            </w:pPr>
            <w:r w:rsidRPr="00664A12">
              <w:rPr>
                <w:rFonts w:ascii="Tahoma" w:hAnsi="Tahoma" w:cs="Tahoma"/>
                <w:sz w:val="20"/>
                <w:szCs w:val="22"/>
              </w:rPr>
              <w:t xml:space="preserve">$222,830 </w:t>
            </w:r>
          </w:p>
        </w:tc>
        <w:tc>
          <w:tcPr>
            <w:tcW w:w="1080" w:type="dxa"/>
            <w:tcBorders>
              <w:top w:val="dotted" w:sz="4" w:space="0" w:color="auto"/>
              <w:left w:val="dotted" w:sz="4" w:space="0" w:color="auto"/>
              <w:bottom w:val="single" w:sz="12" w:space="0" w:color="auto"/>
              <w:right w:val="single" w:sz="12" w:space="0" w:color="auto"/>
            </w:tcBorders>
            <w:shd w:val="clear" w:color="auto" w:fill="auto"/>
            <w:noWrap/>
            <w:vAlign w:val="bottom"/>
            <w:hideMark/>
          </w:tcPr>
          <w:p w14:paraId="167BF4BD" w14:textId="77777777" w:rsidR="00C171B1" w:rsidRPr="00664A12" w:rsidRDefault="00C171B1" w:rsidP="0082258A">
            <w:pPr>
              <w:jc w:val="right"/>
              <w:rPr>
                <w:rFonts w:ascii="Tahoma" w:hAnsi="Tahoma" w:cs="Tahoma"/>
                <w:color w:val="000000"/>
                <w:sz w:val="20"/>
                <w:szCs w:val="22"/>
              </w:rPr>
            </w:pPr>
            <w:r w:rsidRPr="00664A12">
              <w:rPr>
                <w:rFonts w:ascii="Tahoma" w:hAnsi="Tahoma" w:cs="Tahoma"/>
                <w:color w:val="000000"/>
                <w:sz w:val="20"/>
                <w:szCs w:val="22"/>
              </w:rPr>
              <w:t xml:space="preserve">$321 </w:t>
            </w:r>
          </w:p>
        </w:tc>
      </w:tr>
    </w:tbl>
    <w:p w14:paraId="46F4CB25" w14:textId="77777777" w:rsidR="00C171B1" w:rsidRPr="00B408B9" w:rsidRDefault="00C171B1" w:rsidP="0082258A">
      <w:pPr>
        <w:rPr>
          <w:rFonts w:ascii="Cambria" w:hAnsi="Cambria"/>
          <w:sz w:val="22"/>
          <w:szCs w:val="22"/>
        </w:rPr>
      </w:pPr>
    </w:p>
    <w:p w14:paraId="3822233B" w14:textId="77777777" w:rsidR="00C171B1" w:rsidRPr="00B408B9" w:rsidRDefault="007E7E91" w:rsidP="0082258A">
      <w:pPr>
        <w:rPr>
          <w:rFonts w:ascii="Cambria" w:hAnsi="Cambria"/>
          <w:sz w:val="22"/>
          <w:szCs w:val="22"/>
        </w:rPr>
      </w:pPr>
      <w:r w:rsidRPr="00B408B9">
        <w:rPr>
          <w:rFonts w:ascii="Cambria" w:hAnsi="Cambria"/>
          <w:sz w:val="22"/>
          <w:szCs w:val="22"/>
        </w:rPr>
        <w:t xml:space="preserve">USDA </w:t>
      </w:r>
      <w:r w:rsidR="00B408B9" w:rsidRPr="00B408B9">
        <w:rPr>
          <w:rFonts w:ascii="Cambria" w:hAnsi="Cambria"/>
          <w:sz w:val="22"/>
          <w:szCs w:val="22"/>
        </w:rPr>
        <w:t>states</w:t>
      </w:r>
      <w:r w:rsidRPr="00B408B9">
        <w:rPr>
          <w:rFonts w:ascii="Cambria" w:hAnsi="Cambria"/>
          <w:sz w:val="22"/>
          <w:szCs w:val="22"/>
        </w:rPr>
        <w:t xml:space="preserve"> that </w:t>
      </w:r>
      <w:r w:rsidR="00BE06DC" w:rsidRPr="00B408B9">
        <w:rPr>
          <w:rFonts w:ascii="Cambria" w:hAnsi="Cambria"/>
          <w:sz w:val="22"/>
          <w:szCs w:val="22"/>
        </w:rPr>
        <w:t>while pilot states generally experienced increases in the</w:t>
      </w:r>
      <w:r w:rsidR="00FC21DA" w:rsidRPr="00B408B9">
        <w:rPr>
          <w:rFonts w:ascii="Cambria" w:hAnsi="Cambria"/>
          <w:sz w:val="22"/>
          <w:szCs w:val="22"/>
        </w:rPr>
        <w:t>ir area loan limits</w:t>
      </w:r>
      <w:r w:rsidR="001D569B" w:rsidRPr="00B408B9">
        <w:rPr>
          <w:rFonts w:ascii="Cambria" w:hAnsi="Cambria"/>
          <w:sz w:val="22"/>
          <w:szCs w:val="22"/>
        </w:rPr>
        <w:t>, t</w:t>
      </w:r>
      <w:r w:rsidR="00FC21DA" w:rsidRPr="00B408B9">
        <w:rPr>
          <w:rFonts w:ascii="Cambria" w:hAnsi="Cambria"/>
          <w:sz w:val="22"/>
          <w:szCs w:val="22"/>
        </w:rPr>
        <w:t>he increases were not significant, in part because an applicant’s qualification amount</w:t>
      </w:r>
      <w:r w:rsidR="002D4A40" w:rsidRPr="00B408B9">
        <w:rPr>
          <w:rFonts w:ascii="Cambria" w:hAnsi="Cambria"/>
          <w:sz w:val="22"/>
          <w:szCs w:val="22"/>
        </w:rPr>
        <w:t xml:space="preserve"> continues to be limited to </w:t>
      </w:r>
      <w:r w:rsidR="00AD38CE" w:rsidRPr="00B408B9">
        <w:rPr>
          <w:rFonts w:ascii="Cambria" w:hAnsi="Cambria"/>
          <w:sz w:val="22"/>
          <w:szCs w:val="22"/>
        </w:rPr>
        <w:t xml:space="preserve">repayment ability </w:t>
      </w:r>
      <w:r w:rsidR="002D4A40" w:rsidRPr="00B408B9">
        <w:rPr>
          <w:rFonts w:ascii="Cambria" w:hAnsi="Cambria"/>
          <w:sz w:val="22"/>
          <w:szCs w:val="22"/>
        </w:rPr>
        <w:t>and other factors</w:t>
      </w:r>
      <w:r w:rsidR="00AD38CE" w:rsidRPr="00B408B9">
        <w:rPr>
          <w:rFonts w:ascii="Cambria" w:hAnsi="Cambria"/>
          <w:sz w:val="22"/>
          <w:szCs w:val="22"/>
        </w:rPr>
        <w:t xml:space="preserve">. </w:t>
      </w:r>
      <w:r w:rsidR="00C171B1" w:rsidRPr="00B408B9">
        <w:rPr>
          <w:rFonts w:ascii="Cambria" w:hAnsi="Cambria"/>
          <w:sz w:val="22"/>
          <w:szCs w:val="22"/>
        </w:rPr>
        <w:t>Th</w:t>
      </w:r>
      <w:r w:rsidR="0080447E" w:rsidRPr="00B408B9">
        <w:rPr>
          <w:rFonts w:ascii="Cambria" w:hAnsi="Cambria"/>
          <w:sz w:val="22"/>
          <w:szCs w:val="22"/>
        </w:rPr>
        <w:t>e analysis is presented to</w:t>
      </w:r>
      <w:r w:rsidR="00C171B1" w:rsidRPr="00B408B9">
        <w:rPr>
          <w:rFonts w:ascii="Cambria" w:hAnsi="Cambria"/>
          <w:sz w:val="22"/>
          <w:szCs w:val="22"/>
        </w:rPr>
        <w:t xml:space="preserve"> illustrate that repayment ability is a limiting factor</w:t>
      </w:r>
      <w:r w:rsidR="002D4A40" w:rsidRPr="00B408B9">
        <w:rPr>
          <w:rFonts w:ascii="Cambria" w:hAnsi="Cambria"/>
          <w:sz w:val="22"/>
          <w:szCs w:val="22"/>
        </w:rPr>
        <w:t xml:space="preserve"> only</w:t>
      </w:r>
      <w:r w:rsidR="00C171B1" w:rsidRPr="00B408B9">
        <w:rPr>
          <w:rFonts w:ascii="Cambria" w:hAnsi="Cambria"/>
          <w:sz w:val="22"/>
          <w:szCs w:val="22"/>
        </w:rPr>
        <w:t xml:space="preserve"> at lower incomes</w:t>
      </w:r>
      <w:r w:rsidR="009F6B10" w:rsidRPr="00B408B9">
        <w:rPr>
          <w:rFonts w:ascii="Cambria" w:hAnsi="Cambria"/>
          <w:sz w:val="22"/>
          <w:szCs w:val="22"/>
        </w:rPr>
        <w:t>.</w:t>
      </w:r>
      <w:r w:rsidR="00C171B1" w:rsidRPr="00B408B9">
        <w:rPr>
          <w:rFonts w:ascii="Cambria" w:hAnsi="Cambria"/>
          <w:sz w:val="22"/>
          <w:szCs w:val="22"/>
        </w:rPr>
        <w:t xml:space="preserve"> </w:t>
      </w:r>
      <w:r w:rsidR="00AA2761" w:rsidRPr="00B408B9">
        <w:rPr>
          <w:rFonts w:ascii="Cambria" w:hAnsi="Cambria"/>
          <w:sz w:val="22"/>
          <w:szCs w:val="22"/>
        </w:rPr>
        <w:t xml:space="preserve">Most low-income borrowers qualify for significantly more than the </w:t>
      </w:r>
      <w:r w:rsidR="00253CBB" w:rsidRPr="00B408B9">
        <w:rPr>
          <w:rFonts w:ascii="Cambria" w:hAnsi="Cambria"/>
          <w:sz w:val="22"/>
          <w:szCs w:val="22"/>
        </w:rPr>
        <w:t>lowest area loan limit (</w:t>
      </w:r>
      <w:r w:rsidR="00AA2761" w:rsidRPr="00B408B9">
        <w:rPr>
          <w:rFonts w:ascii="Cambria" w:hAnsi="Cambria"/>
          <w:sz w:val="22"/>
          <w:szCs w:val="22"/>
        </w:rPr>
        <w:t>$235,612</w:t>
      </w:r>
      <w:r w:rsidR="00253CBB" w:rsidRPr="00B408B9">
        <w:rPr>
          <w:rFonts w:ascii="Cambria" w:hAnsi="Cambria"/>
          <w:sz w:val="22"/>
          <w:szCs w:val="22"/>
        </w:rPr>
        <w:t xml:space="preserve">) </w:t>
      </w:r>
      <w:r w:rsidR="00AA2761" w:rsidRPr="00B408B9">
        <w:rPr>
          <w:rFonts w:ascii="Cambria" w:hAnsi="Cambria"/>
          <w:sz w:val="22"/>
          <w:szCs w:val="22"/>
        </w:rPr>
        <w:t>for most counties</w:t>
      </w:r>
      <w:r w:rsidR="00303737" w:rsidRPr="00B408B9">
        <w:rPr>
          <w:rFonts w:ascii="Cambria" w:hAnsi="Cambria"/>
          <w:sz w:val="22"/>
          <w:szCs w:val="22"/>
        </w:rPr>
        <w:t xml:space="preserve">. </w:t>
      </w:r>
      <w:r w:rsidR="00883ED4" w:rsidRPr="00B408B9">
        <w:rPr>
          <w:rFonts w:ascii="Cambria" w:hAnsi="Cambria"/>
          <w:sz w:val="22"/>
          <w:szCs w:val="22"/>
        </w:rPr>
        <w:t xml:space="preserve">The current payment assistance formula provides that applicants pay 24 percent of their income towards principal, interest, taxes and insurance or the equivalent of a 1 percent loan, whichever results in less subsidy. </w:t>
      </w:r>
      <w:r w:rsidR="00303737" w:rsidRPr="00B408B9">
        <w:rPr>
          <w:rFonts w:ascii="Cambria" w:hAnsi="Cambria"/>
          <w:sz w:val="22"/>
          <w:szCs w:val="22"/>
        </w:rPr>
        <w:t>HAC conclu</w:t>
      </w:r>
      <w:r w:rsidR="007C692D" w:rsidRPr="00B408B9">
        <w:rPr>
          <w:rFonts w:ascii="Cambria" w:hAnsi="Cambria"/>
          <w:sz w:val="22"/>
          <w:szCs w:val="22"/>
        </w:rPr>
        <w:t xml:space="preserve">des that repayment ability is only a limiting factor for the lowest income borrowers because of the payment assistance subsidy formula. </w:t>
      </w:r>
    </w:p>
    <w:p w14:paraId="10AE71A4" w14:textId="77777777" w:rsidR="003C725A" w:rsidRPr="00B408B9" w:rsidRDefault="003C725A" w:rsidP="0082258A">
      <w:pPr>
        <w:rPr>
          <w:rFonts w:ascii="Cambria" w:hAnsi="Cambria"/>
          <w:sz w:val="22"/>
          <w:szCs w:val="22"/>
        </w:rPr>
      </w:pPr>
    </w:p>
    <w:p w14:paraId="0F4A66F0" w14:textId="7428E136" w:rsidR="00C171B1" w:rsidRPr="00B408B9" w:rsidRDefault="00C171B1" w:rsidP="0082258A">
      <w:pPr>
        <w:rPr>
          <w:rFonts w:ascii="Cambria" w:hAnsi="Cambria"/>
          <w:sz w:val="22"/>
          <w:szCs w:val="22"/>
        </w:rPr>
      </w:pPr>
      <w:r w:rsidRPr="00B408B9">
        <w:rPr>
          <w:rFonts w:ascii="Cambria" w:hAnsi="Cambria"/>
          <w:sz w:val="22"/>
          <w:szCs w:val="22"/>
        </w:rPr>
        <w:t>Higher loan amounts reduce the number of applicants who can be served by the program as funds are limited by appropriations.</w:t>
      </w:r>
      <w:r w:rsidR="000C7F10" w:rsidRPr="00B408B9">
        <w:rPr>
          <w:rFonts w:ascii="Cambria" w:hAnsi="Cambria"/>
          <w:sz w:val="22"/>
          <w:szCs w:val="22"/>
        </w:rPr>
        <w:t xml:space="preserve"> </w:t>
      </w:r>
      <w:r w:rsidRPr="00B408B9">
        <w:rPr>
          <w:rFonts w:ascii="Cambria" w:hAnsi="Cambria"/>
          <w:sz w:val="22"/>
          <w:szCs w:val="22"/>
        </w:rPr>
        <w:t>Applicants who qualify for higher loan amounts receive more payment assistance subsidy. In the long run, this will increase the cost of the program.</w:t>
      </w:r>
      <w:r w:rsidR="000C7F10" w:rsidRPr="00B408B9">
        <w:rPr>
          <w:rFonts w:ascii="Cambria" w:hAnsi="Cambria"/>
          <w:sz w:val="22"/>
          <w:szCs w:val="22"/>
        </w:rPr>
        <w:t xml:space="preserve"> </w:t>
      </w:r>
      <w:r w:rsidR="001058DD">
        <w:rPr>
          <w:rFonts w:ascii="Cambria" w:hAnsi="Cambria"/>
          <w:sz w:val="22"/>
          <w:szCs w:val="22"/>
        </w:rPr>
        <w:t>A</w:t>
      </w:r>
      <w:r w:rsidRPr="00B408B9">
        <w:rPr>
          <w:rFonts w:ascii="Cambria" w:hAnsi="Cambria"/>
          <w:sz w:val="22"/>
          <w:szCs w:val="22"/>
        </w:rPr>
        <w:t>s illustrated by the tables abo</w:t>
      </w:r>
      <w:r w:rsidR="00C04492">
        <w:rPr>
          <w:rFonts w:ascii="Cambria" w:hAnsi="Cambria"/>
          <w:sz w:val="22"/>
          <w:szCs w:val="22"/>
        </w:rPr>
        <w:t>ve</w:t>
      </w:r>
      <w:r w:rsidRPr="00B408B9">
        <w:rPr>
          <w:rFonts w:ascii="Cambria" w:hAnsi="Cambria"/>
          <w:sz w:val="22"/>
          <w:szCs w:val="22"/>
        </w:rPr>
        <w:t xml:space="preserve">, higher income applicants </w:t>
      </w:r>
      <w:r w:rsidR="00242193">
        <w:rPr>
          <w:rFonts w:ascii="Cambria" w:hAnsi="Cambria"/>
          <w:sz w:val="22"/>
          <w:szCs w:val="22"/>
        </w:rPr>
        <w:t xml:space="preserve">could </w:t>
      </w:r>
      <w:r w:rsidRPr="00B408B9">
        <w:rPr>
          <w:rFonts w:ascii="Cambria" w:hAnsi="Cambria"/>
          <w:sz w:val="22"/>
          <w:szCs w:val="22"/>
        </w:rPr>
        <w:t>qualify for bigger loan amounts than the $235,612 loan limit for most counties.</w:t>
      </w:r>
      <w:r w:rsidR="000C7F10" w:rsidRPr="00B408B9">
        <w:rPr>
          <w:rFonts w:ascii="Cambria" w:hAnsi="Cambria"/>
          <w:sz w:val="22"/>
          <w:szCs w:val="22"/>
        </w:rPr>
        <w:t xml:space="preserve"> </w:t>
      </w:r>
      <w:r w:rsidRPr="00B408B9">
        <w:rPr>
          <w:rFonts w:ascii="Cambria" w:hAnsi="Cambria"/>
          <w:sz w:val="22"/>
          <w:szCs w:val="22"/>
        </w:rPr>
        <w:t>Repayment ability is not a limiting factor in these instances. One way to mitigate this is to change the payment assistance subsidy formula to develop a</w:t>
      </w:r>
      <w:r w:rsidR="008518A2">
        <w:rPr>
          <w:rFonts w:ascii="Cambria" w:hAnsi="Cambria"/>
          <w:sz w:val="22"/>
          <w:szCs w:val="22"/>
        </w:rPr>
        <w:t>n additional</w:t>
      </w:r>
      <w:r w:rsidRPr="00B408B9">
        <w:rPr>
          <w:rFonts w:ascii="Cambria" w:hAnsi="Cambria"/>
          <w:sz w:val="22"/>
          <w:szCs w:val="22"/>
        </w:rPr>
        <w:t xml:space="preserve"> limit on the amount of subsidy for higher income applicants.</w:t>
      </w:r>
      <w:r w:rsidR="000C7F10" w:rsidRPr="00B408B9">
        <w:rPr>
          <w:rFonts w:ascii="Cambria" w:hAnsi="Cambria"/>
          <w:sz w:val="22"/>
          <w:szCs w:val="22"/>
        </w:rPr>
        <w:t xml:space="preserve"> </w:t>
      </w:r>
      <w:r w:rsidR="008518A2">
        <w:rPr>
          <w:rFonts w:ascii="Cambria" w:hAnsi="Cambria"/>
          <w:sz w:val="22"/>
          <w:szCs w:val="22"/>
        </w:rPr>
        <w:t xml:space="preserve"> This could be </w:t>
      </w:r>
      <w:r w:rsidR="0026130D">
        <w:rPr>
          <w:rFonts w:ascii="Cambria" w:hAnsi="Cambria"/>
          <w:sz w:val="22"/>
          <w:szCs w:val="22"/>
        </w:rPr>
        <w:t xml:space="preserve">done with a third factor limiting the total subsidy based on a dollar amount or a percentage of </w:t>
      </w:r>
      <w:r w:rsidR="00CF1A55">
        <w:rPr>
          <w:rFonts w:ascii="Cambria" w:hAnsi="Cambria"/>
          <w:sz w:val="22"/>
          <w:szCs w:val="22"/>
        </w:rPr>
        <w:t>th</w:t>
      </w:r>
      <w:r w:rsidR="005654FC">
        <w:rPr>
          <w:rFonts w:ascii="Cambria" w:hAnsi="Cambria"/>
          <w:sz w:val="22"/>
          <w:szCs w:val="22"/>
        </w:rPr>
        <w:t xml:space="preserve">e total payment. </w:t>
      </w:r>
      <w:r w:rsidR="00E813C0">
        <w:rPr>
          <w:rFonts w:ascii="Cambria" w:hAnsi="Cambria"/>
          <w:sz w:val="22"/>
          <w:szCs w:val="22"/>
        </w:rPr>
        <w:t>F</w:t>
      </w:r>
      <w:r w:rsidRPr="00B408B9">
        <w:rPr>
          <w:rFonts w:ascii="Cambria" w:hAnsi="Cambria"/>
          <w:sz w:val="22"/>
          <w:szCs w:val="22"/>
        </w:rPr>
        <w:t xml:space="preserve">urther study </w:t>
      </w:r>
      <w:r w:rsidR="00E813C0">
        <w:rPr>
          <w:rFonts w:ascii="Cambria" w:hAnsi="Cambria"/>
          <w:sz w:val="22"/>
          <w:szCs w:val="22"/>
        </w:rPr>
        <w:t xml:space="preserve">is required </w:t>
      </w:r>
      <w:r w:rsidRPr="00B408B9">
        <w:rPr>
          <w:rFonts w:ascii="Cambria" w:hAnsi="Cambria"/>
          <w:sz w:val="22"/>
          <w:szCs w:val="22"/>
        </w:rPr>
        <w:t>to determine an appropriate formula or amount for this.</w:t>
      </w:r>
      <w:r w:rsidR="000C7F10" w:rsidRPr="00B408B9">
        <w:rPr>
          <w:rFonts w:ascii="Cambria" w:hAnsi="Cambria"/>
          <w:sz w:val="22"/>
          <w:szCs w:val="22"/>
        </w:rPr>
        <w:t xml:space="preserve"> </w:t>
      </w:r>
    </w:p>
    <w:p w14:paraId="345BCE2B" w14:textId="77777777" w:rsidR="006B639D" w:rsidRDefault="006B639D">
      <w:pPr>
        <w:rPr>
          <w:rFonts w:ascii="Cambria" w:hAnsi="Cambria"/>
          <w:sz w:val="22"/>
          <w:szCs w:val="22"/>
        </w:rPr>
      </w:pPr>
    </w:p>
    <w:p w14:paraId="41011E50" w14:textId="77777777" w:rsidR="001E58CE" w:rsidRPr="00B408B9" w:rsidRDefault="001E58CE">
      <w:pPr>
        <w:rPr>
          <w:rFonts w:ascii="Cambria" w:hAnsi="Cambria"/>
          <w:sz w:val="22"/>
          <w:szCs w:val="22"/>
        </w:rPr>
      </w:pPr>
    </w:p>
    <w:p w14:paraId="62F4C2F8" w14:textId="77777777" w:rsidR="00120715" w:rsidRPr="00B408B9" w:rsidRDefault="00120715" w:rsidP="00120715">
      <w:pPr>
        <w:rPr>
          <w:rFonts w:ascii="Cambria" w:hAnsi="Cambria"/>
          <w:b/>
          <w:sz w:val="22"/>
          <w:szCs w:val="22"/>
        </w:rPr>
      </w:pPr>
      <w:r w:rsidRPr="00B408B9">
        <w:rPr>
          <w:rFonts w:ascii="Cambria" w:hAnsi="Cambria"/>
          <w:b/>
          <w:sz w:val="22"/>
          <w:szCs w:val="22"/>
        </w:rPr>
        <w:t>Very Low-Income Requirement</w:t>
      </w:r>
    </w:p>
    <w:p w14:paraId="62E8911D" w14:textId="77777777" w:rsidR="00120715" w:rsidRPr="00B408B9" w:rsidRDefault="00120715" w:rsidP="00120715">
      <w:pPr>
        <w:rPr>
          <w:rFonts w:ascii="Cambria" w:hAnsi="Cambria"/>
          <w:b/>
          <w:sz w:val="22"/>
          <w:szCs w:val="22"/>
        </w:rPr>
      </w:pPr>
    </w:p>
    <w:p w14:paraId="0F13EA64" w14:textId="77777777" w:rsidR="00120715" w:rsidRPr="00B408B9" w:rsidRDefault="00120715" w:rsidP="00120715">
      <w:pPr>
        <w:rPr>
          <w:rFonts w:ascii="Cambria" w:hAnsi="Cambria"/>
          <w:sz w:val="22"/>
          <w:szCs w:val="22"/>
        </w:rPr>
      </w:pPr>
      <w:r w:rsidRPr="00B408B9">
        <w:rPr>
          <w:rFonts w:ascii="Cambria" w:hAnsi="Cambria"/>
          <w:sz w:val="22"/>
          <w:szCs w:val="22"/>
        </w:rPr>
        <w:t>While not explicitly presented in the proposal</w:t>
      </w:r>
      <w:r w:rsidR="00DF5CE0" w:rsidRPr="00B408B9">
        <w:rPr>
          <w:rFonts w:ascii="Cambria" w:hAnsi="Cambria"/>
          <w:sz w:val="22"/>
          <w:szCs w:val="22"/>
        </w:rPr>
        <w:t xml:space="preserve">, </w:t>
      </w:r>
      <w:r w:rsidRPr="00B408B9">
        <w:rPr>
          <w:rFonts w:ascii="Cambria" w:hAnsi="Cambria"/>
          <w:sz w:val="22"/>
          <w:szCs w:val="22"/>
        </w:rPr>
        <w:t>USDA’s Section 502 Direct loan program is subject to a statutory requirement that 40 percent of the funds be set aside for Very Low-income applicants.</w:t>
      </w:r>
      <w:r w:rsidR="000C7F10" w:rsidRPr="00B408B9">
        <w:rPr>
          <w:rFonts w:ascii="Cambria" w:hAnsi="Cambria"/>
          <w:sz w:val="22"/>
          <w:szCs w:val="22"/>
        </w:rPr>
        <w:t xml:space="preserve"> </w:t>
      </w:r>
      <w:r w:rsidRPr="00B408B9">
        <w:rPr>
          <w:rFonts w:ascii="Cambria" w:hAnsi="Cambria"/>
          <w:sz w:val="22"/>
          <w:szCs w:val="22"/>
        </w:rPr>
        <w:t xml:space="preserve">Meeting this requirement has been a challenge in recent years because average home costs have increased faster than income. The chart below compares the average loan amounts (in nominal dollars) for USDA Section 502 Direct loans, the average borrower income, and 80 percent of the US nonmetropolitan median income. </w:t>
      </w:r>
    </w:p>
    <w:p w14:paraId="0A13C48A" w14:textId="77777777" w:rsidR="00120715" w:rsidRPr="00B408B9" w:rsidRDefault="00120715" w:rsidP="00120715">
      <w:pPr>
        <w:rPr>
          <w:rFonts w:ascii="Cambria" w:hAnsi="Cambria"/>
          <w:sz w:val="22"/>
          <w:szCs w:val="22"/>
        </w:rPr>
      </w:pPr>
    </w:p>
    <w:p w14:paraId="33679D2D" w14:textId="77777777" w:rsidR="00120715" w:rsidRPr="00B408B9" w:rsidRDefault="00120715" w:rsidP="00120715">
      <w:pPr>
        <w:rPr>
          <w:rFonts w:ascii="Cambria" w:hAnsi="Cambria"/>
          <w:sz w:val="22"/>
          <w:szCs w:val="22"/>
        </w:rPr>
      </w:pPr>
      <w:r w:rsidRPr="00B408B9">
        <w:rPr>
          <w:rFonts w:ascii="Cambria" w:hAnsi="Cambria"/>
          <w:noProof/>
          <w:sz w:val="22"/>
          <w:szCs w:val="22"/>
        </w:rPr>
        <w:lastRenderedPageBreak/>
        <w:drawing>
          <wp:inline distT="0" distB="0" distL="0" distR="0" wp14:anchorId="0A8808C9" wp14:editId="1FC5C284">
            <wp:extent cx="6223819" cy="3026410"/>
            <wp:effectExtent l="0" t="0" r="5715" b="2540"/>
            <wp:docPr id="2" name="Chart 2">
              <a:extLst xmlns:a="http://schemas.openxmlformats.org/drawingml/2006/main">
                <a:ext uri="{FF2B5EF4-FFF2-40B4-BE49-F238E27FC236}">
                  <a16:creationId xmlns:a16="http://schemas.microsoft.com/office/drawing/2014/main" id="{00000000-0008-0000-05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905A649" w14:textId="77777777" w:rsidR="00120715" w:rsidRPr="00B408B9" w:rsidRDefault="00120715" w:rsidP="00120715">
      <w:pPr>
        <w:rPr>
          <w:rFonts w:ascii="Cambria" w:hAnsi="Cambria"/>
          <w:sz w:val="22"/>
          <w:szCs w:val="22"/>
        </w:rPr>
      </w:pPr>
    </w:p>
    <w:p w14:paraId="58C8F750" w14:textId="752B9DD4" w:rsidR="00120715" w:rsidRPr="00B408B9" w:rsidRDefault="00120715" w:rsidP="00120715">
      <w:pPr>
        <w:rPr>
          <w:rFonts w:ascii="Cambria" w:hAnsi="Cambria"/>
          <w:sz w:val="22"/>
          <w:szCs w:val="22"/>
        </w:rPr>
      </w:pPr>
      <w:r w:rsidRPr="00B408B9">
        <w:rPr>
          <w:rFonts w:ascii="Cambria" w:hAnsi="Cambria"/>
          <w:sz w:val="22"/>
          <w:szCs w:val="22"/>
        </w:rPr>
        <w:t xml:space="preserve">HAC’s analysis indicates the average Low-income loan amount has been increasing at a much faster rate than the average Very Low-income </w:t>
      </w:r>
      <w:r w:rsidR="00E679C3">
        <w:rPr>
          <w:rFonts w:ascii="Cambria" w:hAnsi="Cambria"/>
          <w:sz w:val="22"/>
          <w:szCs w:val="22"/>
        </w:rPr>
        <w:t xml:space="preserve">(VLI) </w:t>
      </w:r>
      <w:r w:rsidRPr="00B408B9">
        <w:rPr>
          <w:rFonts w:ascii="Cambria" w:hAnsi="Cambria"/>
          <w:sz w:val="22"/>
          <w:szCs w:val="22"/>
        </w:rPr>
        <w:t>loan amount. This trend suggests increased challenges for meeting the VLI requirement.</w:t>
      </w:r>
      <w:r w:rsidR="000C7F10" w:rsidRPr="00B408B9">
        <w:rPr>
          <w:rFonts w:ascii="Cambria" w:hAnsi="Cambria"/>
          <w:sz w:val="22"/>
          <w:szCs w:val="22"/>
        </w:rPr>
        <w:t xml:space="preserve"> </w:t>
      </w:r>
      <w:r w:rsidRPr="00B408B9">
        <w:rPr>
          <w:rFonts w:ascii="Cambria" w:hAnsi="Cambria"/>
          <w:sz w:val="22"/>
          <w:szCs w:val="22"/>
        </w:rPr>
        <w:t xml:space="preserve">It may be time to </w:t>
      </w:r>
      <w:r w:rsidR="00DF5CE0" w:rsidRPr="00B408B9">
        <w:rPr>
          <w:rFonts w:ascii="Cambria" w:hAnsi="Cambria"/>
          <w:sz w:val="22"/>
          <w:szCs w:val="22"/>
        </w:rPr>
        <w:t>reassess th</w:t>
      </w:r>
      <w:r w:rsidR="003C7625">
        <w:rPr>
          <w:rFonts w:ascii="Cambria" w:hAnsi="Cambria"/>
          <w:sz w:val="22"/>
          <w:szCs w:val="22"/>
        </w:rPr>
        <w:t>e</w:t>
      </w:r>
      <w:r w:rsidRPr="00B408B9">
        <w:rPr>
          <w:rFonts w:ascii="Cambria" w:hAnsi="Cambria"/>
          <w:sz w:val="22"/>
          <w:szCs w:val="22"/>
        </w:rPr>
        <w:t xml:space="preserve"> requirement in Section 502 (d) (1) </w:t>
      </w:r>
      <w:r w:rsidR="003C7625">
        <w:rPr>
          <w:rFonts w:ascii="Cambria" w:hAnsi="Cambria"/>
          <w:sz w:val="22"/>
          <w:szCs w:val="22"/>
        </w:rPr>
        <w:t xml:space="preserve">that </w:t>
      </w:r>
      <w:r w:rsidRPr="00B408B9">
        <w:rPr>
          <w:rFonts w:ascii="Cambria" w:hAnsi="Cambria"/>
          <w:sz w:val="22"/>
          <w:szCs w:val="22"/>
        </w:rPr>
        <w:t xml:space="preserve">“not less than 40 percent of the funds approved in appropriation Acts for use under this section shall be set aside and made available only for very low-income families or persons… </w:t>
      </w:r>
      <w:r w:rsidR="00A00936" w:rsidRPr="00B408B9">
        <w:rPr>
          <w:rFonts w:ascii="Cambria" w:hAnsi="Cambria"/>
          <w:sz w:val="22"/>
          <w:szCs w:val="22"/>
        </w:rPr>
        <w:t>“of</w:t>
      </w:r>
      <w:r w:rsidRPr="00B408B9">
        <w:rPr>
          <w:rFonts w:ascii="Cambria" w:hAnsi="Cambria"/>
          <w:sz w:val="22"/>
          <w:szCs w:val="22"/>
        </w:rPr>
        <w:t xml:space="preserve"> the Housing Act of 1949, as amended. HAC believes it is important that the program continue to serve VLI households. One alternative is to change the way USDA meets the requirement to numbers of loan applicants served rather than funds obligated.</w:t>
      </w:r>
      <w:r w:rsidR="000C7F10" w:rsidRPr="00B408B9">
        <w:rPr>
          <w:rFonts w:ascii="Cambria" w:hAnsi="Cambria"/>
          <w:sz w:val="22"/>
          <w:szCs w:val="22"/>
        </w:rPr>
        <w:t xml:space="preserve"> </w:t>
      </w:r>
    </w:p>
    <w:p w14:paraId="30C4AC21" w14:textId="77777777" w:rsidR="00120715" w:rsidRPr="00B408B9" w:rsidRDefault="00120715" w:rsidP="00120715">
      <w:pPr>
        <w:rPr>
          <w:rFonts w:ascii="Tahoma" w:hAnsi="Tahoma" w:cs="Tahoma"/>
          <w:b/>
          <w:sz w:val="22"/>
          <w:szCs w:val="22"/>
        </w:rPr>
      </w:pPr>
    </w:p>
    <w:p w14:paraId="040C2F54" w14:textId="77777777" w:rsidR="00120715" w:rsidRPr="00B408B9" w:rsidRDefault="00120715" w:rsidP="00120715">
      <w:pPr>
        <w:rPr>
          <w:rFonts w:ascii="Tahoma" w:hAnsi="Tahoma" w:cs="Tahoma"/>
          <w:b/>
          <w:sz w:val="22"/>
          <w:szCs w:val="22"/>
        </w:rPr>
      </w:pPr>
      <w:r w:rsidRPr="00B408B9">
        <w:rPr>
          <w:rFonts w:ascii="Tahoma" w:hAnsi="Tahoma" w:cs="Tahoma"/>
          <w:b/>
          <w:sz w:val="22"/>
          <w:szCs w:val="22"/>
        </w:rPr>
        <w:t>Average Section 502 Direct Loan (in nominal dollars)</w:t>
      </w:r>
    </w:p>
    <w:tbl>
      <w:tblPr>
        <w:tblStyle w:val="TableGrid"/>
        <w:tblW w:w="9504" w:type="dxa"/>
        <w:tblLayout w:type="fixed"/>
        <w:tblLook w:val="04A0" w:firstRow="1" w:lastRow="0" w:firstColumn="1" w:lastColumn="0" w:noHBand="0" w:noVBand="1"/>
      </w:tblPr>
      <w:tblGrid>
        <w:gridCol w:w="1584"/>
        <w:gridCol w:w="1584"/>
        <w:gridCol w:w="1584"/>
        <w:gridCol w:w="1584"/>
        <w:gridCol w:w="1584"/>
        <w:gridCol w:w="1584"/>
      </w:tblGrid>
      <w:tr w:rsidR="00120715" w:rsidRPr="00B408B9" w14:paraId="67A95608" w14:textId="77777777" w:rsidTr="00A94EA7">
        <w:tc>
          <w:tcPr>
            <w:tcW w:w="1584" w:type="dxa"/>
          </w:tcPr>
          <w:p w14:paraId="62806BFA" w14:textId="77777777" w:rsidR="00120715" w:rsidRPr="00B408B9" w:rsidRDefault="00120715" w:rsidP="00A94EA7">
            <w:pPr>
              <w:jc w:val="center"/>
              <w:rPr>
                <w:rFonts w:ascii="Tahoma" w:hAnsi="Tahoma" w:cs="Tahoma"/>
                <w:b/>
                <w:sz w:val="22"/>
                <w:szCs w:val="22"/>
              </w:rPr>
            </w:pPr>
            <w:r w:rsidRPr="00B408B9">
              <w:rPr>
                <w:rFonts w:ascii="Tahoma" w:hAnsi="Tahoma" w:cs="Tahoma"/>
                <w:b/>
                <w:sz w:val="22"/>
                <w:szCs w:val="22"/>
              </w:rPr>
              <w:t>Year</w:t>
            </w:r>
          </w:p>
        </w:tc>
        <w:tc>
          <w:tcPr>
            <w:tcW w:w="1584" w:type="dxa"/>
          </w:tcPr>
          <w:p w14:paraId="73BB3414" w14:textId="77777777" w:rsidR="00120715" w:rsidRPr="00B408B9" w:rsidRDefault="00120715" w:rsidP="00A94EA7">
            <w:pPr>
              <w:jc w:val="center"/>
              <w:rPr>
                <w:rFonts w:ascii="Tahoma" w:hAnsi="Tahoma" w:cs="Tahoma"/>
                <w:b/>
                <w:sz w:val="22"/>
                <w:szCs w:val="22"/>
              </w:rPr>
            </w:pPr>
            <w:r w:rsidRPr="00B408B9">
              <w:rPr>
                <w:rFonts w:ascii="Tahoma" w:hAnsi="Tahoma" w:cs="Tahoma"/>
                <w:b/>
                <w:sz w:val="22"/>
                <w:szCs w:val="22"/>
              </w:rPr>
              <w:t>Average Loan Amount</w:t>
            </w:r>
          </w:p>
        </w:tc>
        <w:tc>
          <w:tcPr>
            <w:tcW w:w="1584" w:type="dxa"/>
          </w:tcPr>
          <w:p w14:paraId="6FC9D06F" w14:textId="77777777" w:rsidR="00120715" w:rsidRPr="00B408B9" w:rsidRDefault="00120715" w:rsidP="00A94EA7">
            <w:pPr>
              <w:jc w:val="center"/>
              <w:rPr>
                <w:rFonts w:ascii="Tahoma" w:hAnsi="Tahoma" w:cs="Tahoma"/>
                <w:b/>
                <w:sz w:val="22"/>
                <w:szCs w:val="22"/>
              </w:rPr>
            </w:pPr>
            <w:r w:rsidRPr="00B408B9">
              <w:rPr>
                <w:rFonts w:ascii="Tahoma" w:hAnsi="Tahoma" w:cs="Tahoma"/>
                <w:b/>
                <w:sz w:val="22"/>
                <w:szCs w:val="22"/>
              </w:rPr>
              <w:t>Average Low-Income Loan</w:t>
            </w:r>
          </w:p>
        </w:tc>
        <w:tc>
          <w:tcPr>
            <w:tcW w:w="1584" w:type="dxa"/>
          </w:tcPr>
          <w:p w14:paraId="2C4E2531" w14:textId="77777777" w:rsidR="00120715" w:rsidRPr="00B408B9" w:rsidRDefault="00120715" w:rsidP="00A94EA7">
            <w:pPr>
              <w:jc w:val="center"/>
              <w:rPr>
                <w:rFonts w:ascii="Tahoma" w:hAnsi="Tahoma" w:cs="Tahoma"/>
                <w:b/>
                <w:sz w:val="22"/>
                <w:szCs w:val="22"/>
              </w:rPr>
            </w:pPr>
            <w:r w:rsidRPr="00B408B9">
              <w:rPr>
                <w:rFonts w:ascii="Tahoma" w:hAnsi="Tahoma" w:cs="Tahoma"/>
                <w:b/>
                <w:sz w:val="22"/>
                <w:szCs w:val="22"/>
              </w:rPr>
              <w:t>Average Very Low-Income Loan</w:t>
            </w:r>
          </w:p>
        </w:tc>
        <w:tc>
          <w:tcPr>
            <w:tcW w:w="1584" w:type="dxa"/>
            <w:tcBorders>
              <w:bottom w:val="single" w:sz="4" w:space="0" w:color="auto"/>
            </w:tcBorders>
          </w:tcPr>
          <w:p w14:paraId="4CF58DCF" w14:textId="77777777" w:rsidR="00120715" w:rsidRPr="00B408B9" w:rsidRDefault="00120715" w:rsidP="00A94EA7">
            <w:pPr>
              <w:jc w:val="center"/>
              <w:rPr>
                <w:rFonts w:ascii="Tahoma" w:hAnsi="Tahoma" w:cs="Tahoma"/>
                <w:b/>
                <w:sz w:val="22"/>
                <w:szCs w:val="22"/>
              </w:rPr>
            </w:pPr>
            <w:r w:rsidRPr="00B408B9">
              <w:rPr>
                <w:rFonts w:ascii="Tahoma" w:hAnsi="Tahoma" w:cs="Tahoma"/>
                <w:b/>
                <w:sz w:val="22"/>
                <w:szCs w:val="22"/>
              </w:rPr>
              <w:t>Percent of Funds for VLI</w:t>
            </w:r>
          </w:p>
        </w:tc>
        <w:tc>
          <w:tcPr>
            <w:tcW w:w="1584" w:type="dxa"/>
            <w:tcBorders>
              <w:bottom w:val="single" w:sz="4" w:space="0" w:color="auto"/>
            </w:tcBorders>
          </w:tcPr>
          <w:p w14:paraId="034E2335" w14:textId="77777777" w:rsidR="00120715" w:rsidRPr="00B408B9" w:rsidRDefault="00120715" w:rsidP="00A94EA7">
            <w:pPr>
              <w:jc w:val="center"/>
              <w:rPr>
                <w:rFonts w:ascii="Tahoma" w:hAnsi="Tahoma" w:cs="Tahoma"/>
                <w:b/>
                <w:sz w:val="22"/>
                <w:szCs w:val="22"/>
              </w:rPr>
            </w:pPr>
            <w:r w:rsidRPr="00B408B9">
              <w:rPr>
                <w:rFonts w:ascii="Tahoma" w:hAnsi="Tahoma" w:cs="Tahoma"/>
                <w:b/>
                <w:sz w:val="22"/>
                <w:szCs w:val="22"/>
              </w:rPr>
              <w:t xml:space="preserve">Percent of VLI Loan Obligations </w:t>
            </w:r>
          </w:p>
        </w:tc>
      </w:tr>
      <w:tr w:rsidR="00120715" w:rsidRPr="00B408B9" w14:paraId="789E4EDD" w14:textId="77777777" w:rsidTr="00A94EA7">
        <w:tc>
          <w:tcPr>
            <w:tcW w:w="1584" w:type="dxa"/>
          </w:tcPr>
          <w:p w14:paraId="6656706F" w14:textId="77777777" w:rsidR="00120715" w:rsidRPr="00B408B9" w:rsidRDefault="00120715" w:rsidP="00A94EA7">
            <w:pPr>
              <w:jc w:val="right"/>
              <w:rPr>
                <w:rFonts w:ascii="Tahoma" w:hAnsi="Tahoma" w:cs="Tahoma"/>
                <w:b/>
                <w:color w:val="000000"/>
                <w:sz w:val="22"/>
                <w:szCs w:val="22"/>
              </w:rPr>
            </w:pPr>
            <w:r w:rsidRPr="00B408B9">
              <w:rPr>
                <w:rFonts w:ascii="Tahoma" w:hAnsi="Tahoma" w:cs="Tahoma"/>
                <w:b/>
                <w:sz w:val="22"/>
                <w:szCs w:val="22"/>
              </w:rPr>
              <w:t>2015</w:t>
            </w:r>
          </w:p>
        </w:tc>
        <w:tc>
          <w:tcPr>
            <w:tcW w:w="1584" w:type="dxa"/>
          </w:tcPr>
          <w:p w14:paraId="1D244903" w14:textId="77777777" w:rsidR="00120715" w:rsidRPr="00B408B9" w:rsidRDefault="00120715" w:rsidP="00A94EA7">
            <w:pPr>
              <w:jc w:val="right"/>
              <w:rPr>
                <w:rFonts w:ascii="Tahoma" w:hAnsi="Tahoma" w:cs="Tahoma"/>
                <w:sz w:val="22"/>
                <w:szCs w:val="22"/>
              </w:rPr>
            </w:pPr>
            <w:r w:rsidRPr="00B408B9">
              <w:rPr>
                <w:rFonts w:ascii="Tahoma" w:hAnsi="Tahoma" w:cs="Tahoma"/>
                <w:color w:val="000000"/>
                <w:sz w:val="22"/>
                <w:szCs w:val="22"/>
              </w:rPr>
              <w:t>$127,380</w:t>
            </w:r>
          </w:p>
        </w:tc>
        <w:tc>
          <w:tcPr>
            <w:tcW w:w="1584" w:type="dxa"/>
          </w:tcPr>
          <w:p w14:paraId="1411C724" w14:textId="77777777" w:rsidR="00120715" w:rsidRPr="00B408B9" w:rsidRDefault="00120715" w:rsidP="00A94EA7">
            <w:pPr>
              <w:jc w:val="right"/>
              <w:rPr>
                <w:rFonts w:ascii="Tahoma" w:hAnsi="Tahoma" w:cs="Tahoma"/>
                <w:color w:val="000000"/>
                <w:sz w:val="22"/>
                <w:szCs w:val="22"/>
              </w:rPr>
            </w:pPr>
            <w:r w:rsidRPr="00B408B9">
              <w:rPr>
                <w:rFonts w:ascii="Tahoma" w:hAnsi="Tahoma" w:cs="Tahoma"/>
                <w:color w:val="000000"/>
                <w:sz w:val="22"/>
                <w:szCs w:val="22"/>
              </w:rPr>
              <w:t>$131,381</w:t>
            </w:r>
          </w:p>
        </w:tc>
        <w:tc>
          <w:tcPr>
            <w:tcW w:w="1584" w:type="dxa"/>
          </w:tcPr>
          <w:p w14:paraId="09117BC2" w14:textId="77777777" w:rsidR="00120715" w:rsidRPr="00B408B9" w:rsidRDefault="00120715" w:rsidP="00A94EA7">
            <w:pPr>
              <w:jc w:val="right"/>
              <w:rPr>
                <w:rFonts w:ascii="Tahoma" w:hAnsi="Tahoma" w:cs="Tahoma"/>
                <w:color w:val="000000"/>
                <w:sz w:val="22"/>
                <w:szCs w:val="22"/>
              </w:rPr>
            </w:pPr>
            <w:r w:rsidRPr="00B408B9">
              <w:rPr>
                <w:rFonts w:ascii="Tahoma" w:hAnsi="Tahoma" w:cs="Tahoma"/>
                <w:color w:val="000000"/>
                <w:sz w:val="22"/>
                <w:szCs w:val="22"/>
              </w:rPr>
              <w:t>$111,192</w:t>
            </w:r>
          </w:p>
        </w:tc>
        <w:tc>
          <w:tcPr>
            <w:tcW w:w="1584" w:type="dxa"/>
            <w:tcBorders>
              <w:top w:val="single" w:sz="4" w:space="0" w:color="auto"/>
              <w:left w:val="nil"/>
              <w:bottom w:val="single" w:sz="4" w:space="0" w:color="auto"/>
              <w:right w:val="single" w:sz="4" w:space="0" w:color="auto"/>
            </w:tcBorders>
            <w:shd w:val="clear" w:color="auto" w:fill="auto"/>
            <w:vAlign w:val="bottom"/>
          </w:tcPr>
          <w:p w14:paraId="7EC5867B" w14:textId="77777777" w:rsidR="00120715" w:rsidRPr="00B408B9" w:rsidRDefault="00120715" w:rsidP="00A94EA7">
            <w:pPr>
              <w:jc w:val="right"/>
              <w:rPr>
                <w:rFonts w:ascii="Tahoma" w:hAnsi="Tahoma" w:cs="Tahoma"/>
                <w:color w:val="000000"/>
                <w:sz w:val="22"/>
                <w:szCs w:val="22"/>
              </w:rPr>
            </w:pPr>
            <w:r w:rsidRPr="00B408B9">
              <w:rPr>
                <w:rFonts w:ascii="Tahoma" w:hAnsi="Tahoma" w:cs="Tahoma"/>
                <w:color w:val="000000"/>
                <w:sz w:val="22"/>
                <w:szCs w:val="22"/>
              </w:rPr>
              <w:t>31.8%</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bottom"/>
          </w:tcPr>
          <w:p w14:paraId="7AC5280C" w14:textId="77777777" w:rsidR="00120715" w:rsidRPr="00B408B9" w:rsidRDefault="00120715" w:rsidP="00A94EA7">
            <w:pPr>
              <w:jc w:val="right"/>
              <w:rPr>
                <w:rFonts w:ascii="Tahoma" w:hAnsi="Tahoma" w:cs="Tahoma"/>
                <w:color w:val="000000"/>
                <w:sz w:val="22"/>
                <w:szCs w:val="22"/>
              </w:rPr>
            </w:pPr>
            <w:r w:rsidRPr="00B408B9">
              <w:rPr>
                <w:rFonts w:ascii="Tahoma" w:hAnsi="Tahoma" w:cs="Tahoma"/>
                <w:color w:val="000000"/>
                <w:sz w:val="22"/>
                <w:szCs w:val="22"/>
              </w:rPr>
              <w:t>35.7%</w:t>
            </w:r>
          </w:p>
        </w:tc>
      </w:tr>
      <w:tr w:rsidR="00120715" w:rsidRPr="00B408B9" w14:paraId="747A117D" w14:textId="77777777" w:rsidTr="00A94EA7">
        <w:tc>
          <w:tcPr>
            <w:tcW w:w="1584" w:type="dxa"/>
          </w:tcPr>
          <w:p w14:paraId="6C4473E3" w14:textId="77777777" w:rsidR="00120715" w:rsidRPr="00B408B9" w:rsidRDefault="00120715" w:rsidP="00A94EA7">
            <w:pPr>
              <w:jc w:val="right"/>
              <w:rPr>
                <w:rFonts w:ascii="Tahoma" w:hAnsi="Tahoma" w:cs="Tahoma"/>
                <w:b/>
                <w:color w:val="000000"/>
                <w:sz w:val="22"/>
                <w:szCs w:val="22"/>
              </w:rPr>
            </w:pPr>
            <w:r w:rsidRPr="00B408B9">
              <w:rPr>
                <w:rFonts w:ascii="Tahoma" w:hAnsi="Tahoma" w:cs="Tahoma"/>
                <w:b/>
                <w:sz w:val="22"/>
                <w:szCs w:val="22"/>
              </w:rPr>
              <w:t>2016</w:t>
            </w:r>
          </w:p>
        </w:tc>
        <w:tc>
          <w:tcPr>
            <w:tcW w:w="1584" w:type="dxa"/>
          </w:tcPr>
          <w:p w14:paraId="191EB232" w14:textId="77777777" w:rsidR="00120715" w:rsidRPr="00B408B9" w:rsidRDefault="00120715" w:rsidP="00A94EA7">
            <w:pPr>
              <w:jc w:val="right"/>
              <w:rPr>
                <w:rFonts w:ascii="Tahoma" w:hAnsi="Tahoma" w:cs="Tahoma"/>
                <w:sz w:val="22"/>
                <w:szCs w:val="22"/>
              </w:rPr>
            </w:pPr>
            <w:r w:rsidRPr="00B408B9">
              <w:rPr>
                <w:rFonts w:ascii="Tahoma" w:hAnsi="Tahoma" w:cs="Tahoma"/>
                <w:color w:val="000000"/>
                <w:sz w:val="22"/>
                <w:szCs w:val="22"/>
              </w:rPr>
              <w:t>$135,176</w:t>
            </w:r>
          </w:p>
        </w:tc>
        <w:tc>
          <w:tcPr>
            <w:tcW w:w="1584" w:type="dxa"/>
          </w:tcPr>
          <w:p w14:paraId="49A6DCD7" w14:textId="77777777" w:rsidR="00120715" w:rsidRPr="00B408B9" w:rsidRDefault="00120715" w:rsidP="00A94EA7">
            <w:pPr>
              <w:jc w:val="right"/>
              <w:rPr>
                <w:rFonts w:ascii="Tahoma" w:hAnsi="Tahoma" w:cs="Tahoma"/>
                <w:color w:val="000000"/>
                <w:sz w:val="22"/>
                <w:szCs w:val="22"/>
              </w:rPr>
            </w:pPr>
            <w:r w:rsidRPr="00B408B9">
              <w:rPr>
                <w:rFonts w:ascii="Tahoma" w:hAnsi="Tahoma" w:cs="Tahoma"/>
                <w:color w:val="000000"/>
                <w:sz w:val="22"/>
                <w:szCs w:val="22"/>
              </w:rPr>
              <w:t>$141,510</w:t>
            </w:r>
          </w:p>
        </w:tc>
        <w:tc>
          <w:tcPr>
            <w:tcW w:w="1584" w:type="dxa"/>
          </w:tcPr>
          <w:p w14:paraId="2172F22F" w14:textId="77777777" w:rsidR="00120715" w:rsidRPr="00B408B9" w:rsidRDefault="00120715" w:rsidP="00A94EA7">
            <w:pPr>
              <w:jc w:val="right"/>
              <w:rPr>
                <w:rFonts w:ascii="Tahoma" w:hAnsi="Tahoma" w:cs="Tahoma"/>
                <w:color w:val="000000"/>
                <w:sz w:val="22"/>
                <w:szCs w:val="22"/>
              </w:rPr>
            </w:pPr>
            <w:r w:rsidRPr="00B408B9">
              <w:rPr>
                <w:rFonts w:ascii="Tahoma" w:hAnsi="Tahoma" w:cs="Tahoma"/>
                <w:color w:val="000000"/>
                <w:sz w:val="22"/>
                <w:szCs w:val="22"/>
              </w:rPr>
              <w:t>$122,932</w:t>
            </w:r>
          </w:p>
        </w:tc>
        <w:tc>
          <w:tcPr>
            <w:tcW w:w="1584" w:type="dxa"/>
            <w:tcBorders>
              <w:top w:val="single" w:sz="4" w:space="0" w:color="auto"/>
              <w:left w:val="nil"/>
              <w:bottom w:val="single" w:sz="4" w:space="0" w:color="auto"/>
              <w:right w:val="single" w:sz="4" w:space="0" w:color="auto"/>
            </w:tcBorders>
            <w:shd w:val="clear" w:color="auto" w:fill="auto"/>
            <w:vAlign w:val="bottom"/>
          </w:tcPr>
          <w:p w14:paraId="51C1B2E4" w14:textId="77777777" w:rsidR="00120715" w:rsidRPr="00B408B9" w:rsidRDefault="00120715" w:rsidP="00A94EA7">
            <w:pPr>
              <w:jc w:val="right"/>
              <w:rPr>
                <w:rFonts w:ascii="Tahoma" w:hAnsi="Tahoma" w:cs="Tahoma"/>
                <w:color w:val="000000"/>
                <w:sz w:val="22"/>
                <w:szCs w:val="22"/>
              </w:rPr>
            </w:pPr>
            <w:r w:rsidRPr="00B408B9">
              <w:rPr>
                <w:rFonts w:ascii="Tahoma" w:hAnsi="Tahoma" w:cs="Tahoma"/>
                <w:color w:val="000000"/>
                <w:sz w:val="22"/>
                <w:szCs w:val="22"/>
              </w:rPr>
              <w:t>37.6%</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bottom"/>
          </w:tcPr>
          <w:p w14:paraId="0EF8A90D" w14:textId="77777777" w:rsidR="00120715" w:rsidRPr="00B408B9" w:rsidRDefault="00120715" w:rsidP="00A94EA7">
            <w:pPr>
              <w:jc w:val="right"/>
              <w:rPr>
                <w:rFonts w:ascii="Tahoma" w:hAnsi="Tahoma" w:cs="Tahoma"/>
                <w:color w:val="000000"/>
                <w:sz w:val="22"/>
                <w:szCs w:val="22"/>
              </w:rPr>
            </w:pPr>
            <w:r w:rsidRPr="00B408B9">
              <w:rPr>
                <w:rFonts w:ascii="Tahoma" w:hAnsi="Tahoma" w:cs="Tahoma"/>
                <w:color w:val="000000"/>
                <w:sz w:val="22"/>
                <w:szCs w:val="22"/>
              </w:rPr>
              <w:t>41.1%</w:t>
            </w:r>
          </w:p>
        </w:tc>
      </w:tr>
      <w:tr w:rsidR="00120715" w:rsidRPr="00B408B9" w14:paraId="0E71B95A" w14:textId="77777777" w:rsidTr="00A94EA7">
        <w:tc>
          <w:tcPr>
            <w:tcW w:w="1584" w:type="dxa"/>
          </w:tcPr>
          <w:p w14:paraId="09FDEA57" w14:textId="77777777" w:rsidR="00120715" w:rsidRPr="00B408B9" w:rsidRDefault="00120715" w:rsidP="00A94EA7">
            <w:pPr>
              <w:jc w:val="right"/>
              <w:rPr>
                <w:rFonts w:ascii="Tahoma" w:hAnsi="Tahoma" w:cs="Tahoma"/>
                <w:b/>
                <w:color w:val="000000"/>
                <w:sz w:val="22"/>
                <w:szCs w:val="22"/>
              </w:rPr>
            </w:pPr>
            <w:r w:rsidRPr="00B408B9">
              <w:rPr>
                <w:rFonts w:ascii="Tahoma" w:hAnsi="Tahoma" w:cs="Tahoma"/>
                <w:b/>
                <w:sz w:val="22"/>
                <w:szCs w:val="22"/>
              </w:rPr>
              <w:t>2017</w:t>
            </w:r>
          </w:p>
        </w:tc>
        <w:tc>
          <w:tcPr>
            <w:tcW w:w="1584" w:type="dxa"/>
          </w:tcPr>
          <w:p w14:paraId="6D13BDE1" w14:textId="77777777" w:rsidR="00120715" w:rsidRPr="00B408B9" w:rsidRDefault="00120715" w:rsidP="00A94EA7">
            <w:pPr>
              <w:jc w:val="right"/>
              <w:rPr>
                <w:rFonts w:ascii="Tahoma" w:hAnsi="Tahoma" w:cs="Tahoma"/>
                <w:sz w:val="22"/>
                <w:szCs w:val="22"/>
              </w:rPr>
            </w:pPr>
            <w:r w:rsidRPr="00B408B9">
              <w:rPr>
                <w:rFonts w:ascii="Tahoma" w:hAnsi="Tahoma" w:cs="Tahoma"/>
                <w:color w:val="000000"/>
                <w:sz w:val="22"/>
                <w:szCs w:val="22"/>
              </w:rPr>
              <w:t>$139,527</w:t>
            </w:r>
          </w:p>
        </w:tc>
        <w:tc>
          <w:tcPr>
            <w:tcW w:w="1584" w:type="dxa"/>
          </w:tcPr>
          <w:p w14:paraId="29685C5F" w14:textId="77777777" w:rsidR="00120715" w:rsidRPr="00B408B9" w:rsidRDefault="00120715" w:rsidP="00A94EA7">
            <w:pPr>
              <w:jc w:val="right"/>
              <w:rPr>
                <w:rFonts w:ascii="Tahoma" w:hAnsi="Tahoma" w:cs="Tahoma"/>
                <w:color w:val="000000"/>
                <w:sz w:val="22"/>
                <w:szCs w:val="22"/>
              </w:rPr>
            </w:pPr>
            <w:r w:rsidRPr="00B408B9">
              <w:rPr>
                <w:rFonts w:ascii="Tahoma" w:hAnsi="Tahoma" w:cs="Tahoma"/>
                <w:color w:val="000000"/>
                <w:sz w:val="22"/>
                <w:szCs w:val="22"/>
              </w:rPr>
              <w:t>$147,612</w:t>
            </w:r>
          </w:p>
        </w:tc>
        <w:tc>
          <w:tcPr>
            <w:tcW w:w="1584" w:type="dxa"/>
          </w:tcPr>
          <w:p w14:paraId="23AC7743" w14:textId="77777777" w:rsidR="00120715" w:rsidRPr="00B408B9" w:rsidRDefault="00120715" w:rsidP="00A94EA7">
            <w:pPr>
              <w:jc w:val="right"/>
              <w:rPr>
                <w:rFonts w:ascii="Tahoma" w:hAnsi="Tahoma" w:cs="Tahoma"/>
                <w:color w:val="000000"/>
                <w:sz w:val="22"/>
                <w:szCs w:val="22"/>
              </w:rPr>
            </w:pPr>
            <w:r w:rsidRPr="00B408B9">
              <w:rPr>
                <w:rFonts w:ascii="Tahoma" w:hAnsi="Tahoma" w:cs="Tahoma"/>
                <w:color w:val="000000"/>
                <w:sz w:val="22"/>
                <w:szCs w:val="22"/>
              </w:rPr>
              <w:t>$126,060</w:t>
            </w:r>
          </w:p>
        </w:tc>
        <w:tc>
          <w:tcPr>
            <w:tcW w:w="1584" w:type="dxa"/>
            <w:tcBorders>
              <w:top w:val="single" w:sz="4" w:space="0" w:color="auto"/>
              <w:left w:val="nil"/>
              <w:bottom w:val="single" w:sz="4" w:space="0" w:color="auto"/>
              <w:right w:val="single" w:sz="4" w:space="0" w:color="auto"/>
            </w:tcBorders>
            <w:shd w:val="clear" w:color="auto" w:fill="auto"/>
            <w:vAlign w:val="bottom"/>
          </w:tcPr>
          <w:p w14:paraId="2A681B82" w14:textId="77777777" w:rsidR="00120715" w:rsidRPr="00B408B9" w:rsidRDefault="00120715" w:rsidP="00A94EA7">
            <w:pPr>
              <w:jc w:val="right"/>
              <w:rPr>
                <w:rFonts w:ascii="Tahoma" w:hAnsi="Tahoma" w:cs="Tahoma"/>
                <w:color w:val="000000"/>
                <w:sz w:val="22"/>
                <w:szCs w:val="22"/>
              </w:rPr>
            </w:pPr>
            <w:r w:rsidRPr="00B408B9">
              <w:rPr>
                <w:rFonts w:ascii="Tahoma" w:hAnsi="Tahoma" w:cs="Tahoma"/>
                <w:color w:val="000000"/>
                <w:sz w:val="22"/>
                <w:szCs w:val="22"/>
              </w:rPr>
              <w:t>38.1%</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bottom"/>
          </w:tcPr>
          <w:p w14:paraId="76F41FB7" w14:textId="77777777" w:rsidR="00120715" w:rsidRPr="00B408B9" w:rsidRDefault="00120715" w:rsidP="00A94EA7">
            <w:pPr>
              <w:jc w:val="right"/>
              <w:rPr>
                <w:rFonts w:ascii="Tahoma" w:hAnsi="Tahoma" w:cs="Tahoma"/>
                <w:color w:val="000000"/>
                <w:sz w:val="22"/>
                <w:szCs w:val="22"/>
              </w:rPr>
            </w:pPr>
            <w:r w:rsidRPr="00B408B9">
              <w:rPr>
                <w:rFonts w:ascii="Tahoma" w:hAnsi="Tahoma" w:cs="Tahoma"/>
                <w:color w:val="000000"/>
                <w:sz w:val="22"/>
                <w:szCs w:val="22"/>
              </w:rPr>
              <w:t>42.0%</w:t>
            </w:r>
          </w:p>
        </w:tc>
      </w:tr>
      <w:tr w:rsidR="00120715" w:rsidRPr="00B408B9" w14:paraId="4FE0BAD7" w14:textId="77777777" w:rsidTr="00A94EA7">
        <w:tc>
          <w:tcPr>
            <w:tcW w:w="1584" w:type="dxa"/>
          </w:tcPr>
          <w:p w14:paraId="3BE06D90" w14:textId="77777777" w:rsidR="00120715" w:rsidRPr="00B408B9" w:rsidRDefault="00120715" w:rsidP="00A94EA7">
            <w:pPr>
              <w:jc w:val="right"/>
              <w:rPr>
                <w:rFonts w:ascii="Tahoma" w:hAnsi="Tahoma" w:cs="Tahoma"/>
                <w:b/>
                <w:color w:val="000000"/>
                <w:sz w:val="22"/>
                <w:szCs w:val="22"/>
              </w:rPr>
            </w:pPr>
            <w:r w:rsidRPr="00B408B9">
              <w:rPr>
                <w:rFonts w:ascii="Tahoma" w:hAnsi="Tahoma" w:cs="Tahoma"/>
                <w:b/>
                <w:sz w:val="22"/>
                <w:szCs w:val="22"/>
              </w:rPr>
              <w:t>2018</w:t>
            </w:r>
          </w:p>
        </w:tc>
        <w:tc>
          <w:tcPr>
            <w:tcW w:w="1584" w:type="dxa"/>
          </w:tcPr>
          <w:p w14:paraId="2BD80C2C" w14:textId="77777777" w:rsidR="00120715" w:rsidRPr="00B408B9" w:rsidRDefault="00120715" w:rsidP="00A94EA7">
            <w:pPr>
              <w:jc w:val="right"/>
              <w:rPr>
                <w:rFonts w:ascii="Tahoma" w:hAnsi="Tahoma" w:cs="Tahoma"/>
                <w:color w:val="000000"/>
                <w:sz w:val="22"/>
                <w:szCs w:val="22"/>
              </w:rPr>
            </w:pPr>
            <w:r w:rsidRPr="00B408B9">
              <w:rPr>
                <w:rFonts w:ascii="Tahoma" w:hAnsi="Tahoma" w:cs="Tahoma"/>
                <w:color w:val="000000"/>
                <w:sz w:val="22"/>
                <w:szCs w:val="22"/>
              </w:rPr>
              <w:t>$152,290</w:t>
            </w:r>
          </w:p>
        </w:tc>
        <w:tc>
          <w:tcPr>
            <w:tcW w:w="1584" w:type="dxa"/>
          </w:tcPr>
          <w:p w14:paraId="1A57CC2D" w14:textId="77777777" w:rsidR="00120715" w:rsidRPr="00B408B9" w:rsidRDefault="00120715" w:rsidP="00A94EA7">
            <w:pPr>
              <w:jc w:val="right"/>
              <w:rPr>
                <w:rFonts w:ascii="Tahoma" w:hAnsi="Tahoma" w:cs="Tahoma"/>
                <w:color w:val="000000"/>
                <w:sz w:val="22"/>
                <w:szCs w:val="22"/>
              </w:rPr>
            </w:pPr>
            <w:r w:rsidRPr="00B408B9">
              <w:rPr>
                <w:rFonts w:ascii="Tahoma" w:hAnsi="Tahoma" w:cs="Tahoma"/>
                <w:color w:val="000000"/>
                <w:sz w:val="22"/>
                <w:szCs w:val="22"/>
              </w:rPr>
              <w:t>$164,496</w:t>
            </w:r>
          </w:p>
        </w:tc>
        <w:tc>
          <w:tcPr>
            <w:tcW w:w="1584" w:type="dxa"/>
          </w:tcPr>
          <w:p w14:paraId="3540AC2C" w14:textId="77777777" w:rsidR="00120715" w:rsidRPr="00B408B9" w:rsidRDefault="00120715" w:rsidP="00A94EA7">
            <w:pPr>
              <w:jc w:val="right"/>
              <w:rPr>
                <w:rFonts w:ascii="Tahoma" w:hAnsi="Tahoma" w:cs="Tahoma"/>
                <w:color w:val="000000"/>
                <w:sz w:val="22"/>
                <w:szCs w:val="22"/>
              </w:rPr>
            </w:pPr>
            <w:r w:rsidRPr="00B408B9">
              <w:rPr>
                <w:rFonts w:ascii="Tahoma" w:hAnsi="Tahoma" w:cs="Tahoma"/>
                <w:color w:val="000000"/>
                <w:sz w:val="22"/>
                <w:szCs w:val="22"/>
              </w:rPr>
              <w:t>$133,615</w:t>
            </w:r>
          </w:p>
        </w:tc>
        <w:tc>
          <w:tcPr>
            <w:tcW w:w="1584" w:type="dxa"/>
            <w:tcBorders>
              <w:top w:val="single" w:sz="4" w:space="0" w:color="auto"/>
              <w:left w:val="nil"/>
              <w:bottom w:val="single" w:sz="4" w:space="0" w:color="auto"/>
              <w:right w:val="single" w:sz="4" w:space="0" w:color="auto"/>
            </w:tcBorders>
            <w:shd w:val="clear" w:color="auto" w:fill="auto"/>
            <w:vAlign w:val="bottom"/>
          </w:tcPr>
          <w:p w14:paraId="0D19D4F3" w14:textId="77777777" w:rsidR="00120715" w:rsidRPr="00B408B9" w:rsidRDefault="00120715" w:rsidP="00A94EA7">
            <w:pPr>
              <w:jc w:val="right"/>
              <w:rPr>
                <w:rFonts w:ascii="Tahoma" w:hAnsi="Tahoma" w:cs="Tahoma"/>
                <w:color w:val="000000"/>
                <w:sz w:val="22"/>
                <w:szCs w:val="22"/>
              </w:rPr>
            </w:pPr>
            <w:r w:rsidRPr="00B408B9">
              <w:rPr>
                <w:rFonts w:ascii="Tahoma" w:hAnsi="Tahoma" w:cs="Tahoma"/>
                <w:color w:val="000000"/>
                <w:sz w:val="22"/>
                <w:szCs w:val="22"/>
              </w:rPr>
              <w:t>32.5%</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bottom"/>
          </w:tcPr>
          <w:p w14:paraId="330B3443" w14:textId="77777777" w:rsidR="00120715" w:rsidRPr="00B408B9" w:rsidRDefault="00120715" w:rsidP="00A94EA7">
            <w:pPr>
              <w:jc w:val="right"/>
              <w:rPr>
                <w:rFonts w:ascii="Tahoma" w:hAnsi="Tahoma" w:cs="Tahoma"/>
                <w:color w:val="000000"/>
                <w:sz w:val="22"/>
                <w:szCs w:val="22"/>
              </w:rPr>
            </w:pPr>
            <w:r w:rsidRPr="00B408B9">
              <w:rPr>
                <w:rFonts w:ascii="Tahoma" w:hAnsi="Tahoma" w:cs="Tahoma"/>
                <w:color w:val="000000"/>
                <w:sz w:val="22"/>
                <w:szCs w:val="22"/>
              </w:rPr>
              <w:t>37.2%</w:t>
            </w:r>
          </w:p>
        </w:tc>
      </w:tr>
    </w:tbl>
    <w:p w14:paraId="7B6CB566" w14:textId="77777777" w:rsidR="0040377C" w:rsidRDefault="0040377C" w:rsidP="0082258A">
      <w:pPr>
        <w:rPr>
          <w:rFonts w:ascii="Cambria" w:hAnsi="Cambria"/>
          <w:sz w:val="22"/>
          <w:szCs w:val="22"/>
        </w:rPr>
      </w:pPr>
    </w:p>
    <w:p w14:paraId="14780E75" w14:textId="77777777" w:rsidR="001E58CE" w:rsidRPr="00B408B9" w:rsidRDefault="001E58CE" w:rsidP="0082258A">
      <w:pPr>
        <w:rPr>
          <w:rFonts w:ascii="Cambria" w:hAnsi="Cambria"/>
          <w:sz w:val="22"/>
          <w:szCs w:val="22"/>
        </w:rPr>
      </w:pPr>
    </w:p>
    <w:p w14:paraId="5CCF507B" w14:textId="77777777" w:rsidR="003A63D2" w:rsidRPr="00B408B9" w:rsidRDefault="003A63D2" w:rsidP="0082258A">
      <w:pPr>
        <w:rPr>
          <w:rFonts w:ascii="Cambria" w:hAnsi="Cambria"/>
          <w:b/>
          <w:sz w:val="22"/>
          <w:szCs w:val="22"/>
        </w:rPr>
      </w:pPr>
      <w:r w:rsidRPr="00B408B9">
        <w:rPr>
          <w:rFonts w:ascii="Cambria" w:hAnsi="Cambria"/>
          <w:b/>
          <w:sz w:val="22"/>
          <w:szCs w:val="22"/>
        </w:rPr>
        <w:t>Other Federal Programs</w:t>
      </w:r>
    </w:p>
    <w:p w14:paraId="184F5E72" w14:textId="77777777" w:rsidR="003A63D2" w:rsidRPr="00B408B9" w:rsidRDefault="003A63D2" w:rsidP="0082258A">
      <w:pPr>
        <w:rPr>
          <w:rFonts w:ascii="Cambria" w:hAnsi="Cambria"/>
          <w:sz w:val="22"/>
          <w:szCs w:val="22"/>
        </w:rPr>
      </w:pPr>
    </w:p>
    <w:p w14:paraId="37E6F423" w14:textId="4B62F319" w:rsidR="003A63D2" w:rsidRPr="00B408B9" w:rsidRDefault="003A63D2" w:rsidP="0082258A">
      <w:pPr>
        <w:rPr>
          <w:rFonts w:ascii="Cambria" w:hAnsi="Cambria"/>
          <w:sz w:val="22"/>
          <w:szCs w:val="22"/>
        </w:rPr>
      </w:pPr>
      <w:r w:rsidRPr="00B408B9">
        <w:rPr>
          <w:rFonts w:ascii="Cambria" w:hAnsi="Cambria"/>
          <w:sz w:val="22"/>
          <w:szCs w:val="22"/>
        </w:rPr>
        <w:t xml:space="preserve">Certain Federal Housing programs that serve low- and very low-income households also rely upon the HUD income limits. The HUD Self-Help </w:t>
      </w:r>
      <w:r w:rsidR="00AA1306">
        <w:rPr>
          <w:rFonts w:ascii="Cambria" w:hAnsi="Cambria"/>
          <w:sz w:val="22"/>
          <w:szCs w:val="22"/>
        </w:rPr>
        <w:t>Homeownership vv</w:t>
      </w:r>
      <w:r w:rsidRPr="00B408B9">
        <w:rPr>
          <w:rFonts w:ascii="Cambria" w:hAnsi="Cambria"/>
          <w:sz w:val="22"/>
          <w:szCs w:val="22"/>
        </w:rPr>
        <w:t xml:space="preserve">Opportunity Program (SHOP) is one such program. Loan applicants who qualify as low-income borrowers under the Section 502 </w:t>
      </w:r>
      <w:r w:rsidR="00B408B9" w:rsidRPr="00B408B9">
        <w:rPr>
          <w:rFonts w:ascii="Cambria" w:hAnsi="Cambria"/>
          <w:sz w:val="22"/>
          <w:szCs w:val="22"/>
        </w:rPr>
        <w:t>D</w:t>
      </w:r>
      <w:r w:rsidRPr="00B408B9">
        <w:rPr>
          <w:rFonts w:ascii="Cambria" w:hAnsi="Cambria"/>
          <w:sz w:val="22"/>
          <w:szCs w:val="22"/>
        </w:rPr>
        <w:t xml:space="preserve">irect loan program under income banding rules may exceed the low-income household threshold under SHOP rules. This causes an unnecessary disconnect and HAC urges USDA to </w:t>
      </w:r>
      <w:r w:rsidR="00B408B9" w:rsidRPr="00B408B9">
        <w:rPr>
          <w:rFonts w:ascii="Cambria" w:hAnsi="Cambria"/>
          <w:sz w:val="22"/>
          <w:szCs w:val="22"/>
        </w:rPr>
        <w:t xml:space="preserve">work closely with HUD to address this issue if the proposed rule is implemented. </w:t>
      </w:r>
    </w:p>
    <w:p w14:paraId="3230A973" w14:textId="77777777" w:rsidR="003A63D2" w:rsidRPr="00B408B9" w:rsidRDefault="003A63D2" w:rsidP="0082258A">
      <w:pPr>
        <w:rPr>
          <w:rFonts w:ascii="Cambria" w:hAnsi="Cambria"/>
          <w:sz w:val="22"/>
          <w:szCs w:val="22"/>
        </w:rPr>
      </w:pPr>
    </w:p>
    <w:p w14:paraId="0FE1663D" w14:textId="77777777" w:rsidR="00C171B1" w:rsidRPr="00B408B9" w:rsidRDefault="004E2819" w:rsidP="0082258A">
      <w:pPr>
        <w:rPr>
          <w:rFonts w:ascii="Cambria" w:hAnsi="Cambria"/>
          <w:sz w:val="22"/>
          <w:szCs w:val="22"/>
        </w:rPr>
      </w:pPr>
      <w:r w:rsidRPr="00B408B9">
        <w:rPr>
          <w:rFonts w:ascii="Cambria" w:hAnsi="Cambria"/>
          <w:sz w:val="22"/>
          <w:szCs w:val="22"/>
        </w:rPr>
        <w:t>The Housing Assistance Council</w:t>
      </w:r>
      <w:r w:rsidR="00C171B1" w:rsidRPr="00B408B9">
        <w:rPr>
          <w:rFonts w:ascii="Cambria" w:hAnsi="Cambria"/>
          <w:sz w:val="22"/>
          <w:szCs w:val="22"/>
        </w:rPr>
        <w:t xml:space="preserve"> appreciate</w:t>
      </w:r>
      <w:r w:rsidR="0040377C" w:rsidRPr="00B408B9">
        <w:rPr>
          <w:rFonts w:ascii="Cambria" w:hAnsi="Cambria"/>
          <w:sz w:val="22"/>
          <w:szCs w:val="22"/>
        </w:rPr>
        <w:t>s</w:t>
      </w:r>
      <w:r w:rsidR="00C171B1" w:rsidRPr="00B408B9">
        <w:rPr>
          <w:rFonts w:ascii="Cambria" w:hAnsi="Cambria"/>
          <w:sz w:val="22"/>
          <w:szCs w:val="22"/>
        </w:rPr>
        <w:t xml:space="preserve"> the opportunity to comment on the Proposed Rule to implement a two-tier income limit structure and other changes to the USDA’s Direct Single Family </w:t>
      </w:r>
      <w:r w:rsidR="00C171B1" w:rsidRPr="00B408B9">
        <w:rPr>
          <w:rFonts w:ascii="Cambria" w:hAnsi="Cambria"/>
          <w:sz w:val="22"/>
          <w:szCs w:val="22"/>
        </w:rPr>
        <w:lastRenderedPageBreak/>
        <w:t>Housing loan and grant programs.</w:t>
      </w:r>
      <w:r w:rsidR="000C7F10" w:rsidRPr="00B408B9">
        <w:rPr>
          <w:rFonts w:ascii="Cambria" w:hAnsi="Cambria"/>
          <w:sz w:val="22"/>
          <w:szCs w:val="22"/>
        </w:rPr>
        <w:t xml:space="preserve"> </w:t>
      </w:r>
      <w:r w:rsidR="00C171B1" w:rsidRPr="00B408B9">
        <w:rPr>
          <w:rFonts w:ascii="Cambria" w:hAnsi="Cambria"/>
          <w:sz w:val="22"/>
          <w:szCs w:val="22"/>
        </w:rPr>
        <w:t xml:space="preserve">Please do not hesitate to contact me if you need additional information or </w:t>
      </w:r>
      <w:r w:rsidR="00CE4664" w:rsidRPr="00B408B9">
        <w:rPr>
          <w:rFonts w:ascii="Cambria" w:hAnsi="Cambria"/>
          <w:sz w:val="22"/>
          <w:szCs w:val="22"/>
        </w:rPr>
        <w:t>clarification</w:t>
      </w:r>
      <w:r w:rsidR="00C171B1" w:rsidRPr="00B408B9">
        <w:rPr>
          <w:rFonts w:ascii="Cambria" w:hAnsi="Cambria"/>
          <w:sz w:val="22"/>
          <w:szCs w:val="22"/>
        </w:rPr>
        <w:t xml:space="preserve"> on our comments. </w:t>
      </w:r>
    </w:p>
    <w:p w14:paraId="551BF43F" w14:textId="77777777" w:rsidR="00C171B1" w:rsidRPr="00B408B9" w:rsidRDefault="00C171B1" w:rsidP="0082258A">
      <w:pPr>
        <w:rPr>
          <w:rFonts w:ascii="Cambria" w:hAnsi="Cambria"/>
          <w:sz w:val="22"/>
          <w:szCs w:val="22"/>
        </w:rPr>
      </w:pPr>
    </w:p>
    <w:p w14:paraId="2C75F6AB" w14:textId="77777777" w:rsidR="00C171B1" w:rsidRPr="00B408B9" w:rsidRDefault="00C171B1" w:rsidP="0082258A">
      <w:pPr>
        <w:rPr>
          <w:rFonts w:ascii="Cambria" w:hAnsi="Cambria"/>
          <w:sz w:val="22"/>
          <w:szCs w:val="22"/>
        </w:rPr>
      </w:pPr>
      <w:r w:rsidRPr="00B408B9">
        <w:rPr>
          <w:rFonts w:ascii="Cambria" w:hAnsi="Cambria"/>
          <w:sz w:val="22"/>
          <w:szCs w:val="22"/>
        </w:rPr>
        <w:t xml:space="preserve">Sincerely, </w:t>
      </w:r>
    </w:p>
    <w:p w14:paraId="4484D989" w14:textId="77777777" w:rsidR="00C171B1" w:rsidRPr="00B408B9" w:rsidRDefault="00C171B1" w:rsidP="0082258A">
      <w:pPr>
        <w:rPr>
          <w:rFonts w:ascii="Cambria" w:hAnsi="Cambria"/>
          <w:sz w:val="22"/>
          <w:szCs w:val="22"/>
        </w:rPr>
      </w:pPr>
    </w:p>
    <w:p w14:paraId="379A2753" w14:textId="77777777" w:rsidR="00C171B1" w:rsidRPr="00B408B9" w:rsidRDefault="00C171B1" w:rsidP="0082258A">
      <w:pPr>
        <w:rPr>
          <w:rFonts w:ascii="Cambria" w:hAnsi="Cambria"/>
          <w:sz w:val="22"/>
          <w:szCs w:val="22"/>
        </w:rPr>
      </w:pPr>
    </w:p>
    <w:p w14:paraId="2FE36ABA" w14:textId="77777777" w:rsidR="004E2819" w:rsidRPr="00B408B9" w:rsidRDefault="004E2819" w:rsidP="0082258A">
      <w:pPr>
        <w:rPr>
          <w:rFonts w:ascii="Cambria" w:hAnsi="Cambria"/>
          <w:sz w:val="22"/>
          <w:szCs w:val="22"/>
        </w:rPr>
      </w:pPr>
    </w:p>
    <w:p w14:paraId="428237AA" w14:textId="77777777" w:rsidR="00C171B1" w:rsidRPr="00B408B9" w:rsidRDefault="00C171B1" w:rsidP="0082258A">
      <w:pPr>
        <w:rPr>
          <w:rFonts w:ascii="Cambria" w:hAnsi="Cambria"/>
          <w:sz w:val="22"/>
          <w:szCs w:val="22"/>
        </w:rPr>
      </w:pPr>
      <w:r w:rsidRPr="00B408B9">
        <w:rPr>
          <w:rFonts w:ascii="Cambria" w:hAnsi="Cambria"/>
          <w:sz w:val="22"/>
          <w:szCs w:val="22"/>
        </w:rPr>
        <w:t>David Lipsetz</w:t>
      </w:r>
    </w:p>
    <w:p w14:paraId="189E4349" w14:textId="77777777" w:rsidR="00C171B1" w:rsidRPr="00B408B9" w:rsidRDefault="00C171B1" w:rsidP="0082258A">
      <w:pPr>
        <w:rPr>
          <w:rFonts w:ascii="Cambria" w:hAnsi="Cambria"/>
          <w:sz w:val="22"/>
          <w:szCs w:val="22"/>
        </w:rPr>
      </w:pPr>
      <w:r w:rsidRPr="00B408B9">
        <w:rPr>
          <w:rFonts w:ascii="Cambria" w:hAnsi="Cambria"/>
          <w:sz w:val="22"/>
          <w:szCs w:val="22"/>
        </w:rPr>
        <w:t xml:space="preserve">Chief Executive Officer </w:t>
      </w:r>
    </w:p>
    <w:sectPr w:rsidR="00C171B1" w:rsidRPr="00B408B9" w:rsidSect="00155163">
      <w:headerReference w:type="even" r:id="rId8"/>
      <w:headerReference w:type="default" r:id="rId9"/>
      <w:footerReference w:type="default" r:id="rId10"/>
      <w:headerReference w:type="first" r:id="rId11"/>
      <w:footerReference w:type="first" r:id="rId12"/>
      <w:pgSz w:w="12240" w:h="15840"/>
      <w:pgMar w:top="1267" w:right="576" w:bottom="907" w:left="180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4C7BC" w14:textId="77777777" w:rsidR="00BC0B0C" w:rsidRDefault="00BC0B0C">
      <w:r>
        <w:separator/>
      </w:r>
    </w:p>
  </w:endnote>
  <w:endnote w:type="continuationSeparator" w:id="0">
    <w:p w14:paraId="2EC281BC" w14:textId="77777777" w:rsidR="00BC0B0C" w:rsidRDefault="00BC0B0C">
      <w:r>
        <w:continuationSeparator/>
      </w:r>
    </w:p>
  </w:endnote>
  <w:endnote w:type="continuationNotice" w:id="1">
    <w:p w14:paraId="1A8A58AA" w14:textId="77777777" w:rsidR="00BC0B0C" w:rsidRDefault="00BC0B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arter BT">
    <w:altName w:val="Cambria"/>
    <w:charset w:val="00"/>
    <w:family w:val="roman"/>
    <w:pitch w:val="variable"/>
    <w:sig w:usb0="00000087" w:usb1="00000000" w:usb2="00000000" w:usb3="00000000" w:csb0="0000001B" w:csb1="00000000"/>
  </w:font>
  <w:font w:name="Melior">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974152"/>
      <w:docPartObj>
        <w:docPartGallery w:val="Page Numbers (Bottom of Page)"/>
        <w:docPartUnique/>
      </w:docPartObj>
    </w:sdtPr>
    <w:sdtEndPr>
      <w:rPr>
        <w:noProof/>
      </w:rPr>
    </w:sdtEndPr>
    <w:sdtContent>
      <w:p w14:paraId="04C2DA4E" w14:textId="77777777" w:rsidR="00CE4664" w:rsidRDefault="00CE4664">
        <w:pPr>
          <w:pStyle w:val="Footer"/>
          <w:jc w:val="right"/>
        </w:pPr>
        <w:r>
          <w:fldChar w:fldCharType="begin"/>
        </w:r>
        <w:r>
          <w:instrText xml:space="preserve"> PAGE   \* MERGEFORMAT </w:instrText>
        </w:r>
        <w:r>
          <w:fldChar w:fldCharType="separate"/>
        </w:r>
        <w:r w:rsidR="00B440B1">
          <w:rPr>
            <w:noProof/>
          </w:rPr>
          <w:t>2</w:t>
        </w:r>
        <w:r>
          <w:rPr>
            <w:noProof/>
          </w:rPr>
          <w:fldChar w:fldCharType="end"/>
        </w:r>
      </w:p>
    </w:sdtContent>
  </w:sdt>
  <w:p w14:paraId="423D8939" w14:textId="77777777" w:rsidR="00B55574" w:rsidRDefault="00B55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2016"/>
      <w:gridCol w:w="2160"/>
      <w:gridCol w:w="2160"/>
      <w:gridCol w:w="2160"/>
    </w:tblGrid>
    <w:tr w:rsidR="00155163" w14:paraId="2D9B732C" w14:textId="77777777" w:rsidTr="00224DBA">
      <w:tc>
        <w:tcPr>
          <w:tcW w:w="2016" w:type="dxa"/>
        </w:tcPr>
        <w:p w14:paraId="2AD5CB5F" w14:textId="77777777" w:rsidR="00155163" w:rsidRPr="00164CCD" w:rsidRDefault="00155163" w:rsidP="00155163">
          <w:pPr>
            <w:ind w:left="-108"/>
            <w:rPr>
              <w:rFonts w:ascii="Arial" w:hAnsi="Arial" w:cs="Arial"/>
              <w:b/>
              <w:bCs/>
              <w:sz w:val="20"/>
              <w:szCs w:val="20"/>
            </w:rPr>
          </w:pPr>
          <w:r w:rsidRPr="00164CCD">
            <w:rPr>
              <w:rFonts w:ascii="Arial" w:hAnsi="Arial" w:cs="Arial"/>
              <w:b/>
              <w:bCs/>
              <w:sz w:val="20"/>
              <w:szCs w:val="20"/>
            </w:rPr>
            <w:t>Building</w:t>
          </w:r>
        </w:p>
        <w:p w14:paraId="66E7C41D" w14:textId="77777777" w:rsidR="00155163" w:rsidRPr="00164CCD" w:rsidRDefault="00155163" w:rsidP="00155163">
          <w:pPr>
            <w:ind w:left="-108"/>
            <w:rPr>
              <w:rFonts w:ascii="Arial" w:hAnsi="Arial" w:cs="Arial"/>
              <w:b/>
              <w:bCs/>
              <w:sz w:val="20"/>
              <w:szCs w:val="20"/>
            </w:rPr>
          </w:pPr>
          <w:r w:rsidRPr="00164CCD">
            <w:rPr>
              <w:rFonts w:ascii="Arial" w:hAnsi="Arial" w:cs="Arial"/>
              <w:b/>
              <w:bCs/>
              <w:sz w:val="20"/>
              <w:szCs w:val="20"/>
            </w:rPr>
            <w:t>Rural</w:t>
          </w:r>
        </w:p>
        <w:p w14:paraId="645B8D1C" w14:textId="77777777" w:rsidR="00155163" w:rsidRPr="00164CCD" w:rsidRDefault="00155163" w:rsidP="00155163">
          <w:pPr>
            <w:pStyle w:val="Footer"/>
            <w:ind w:left="-108"/>
            <w:rPr>
              <w:rFonts w:ascii="Arial" w:hAnsi="Arial" w:cs="Arial"/>
              <w:b/>
              <w:bCs/>
              <w:sz w:val="20"/>
              <w:szCs w:val="20"/>
            </w:rPr>
          </w:pPr>
          <w:r w:rsidRPr="00164CCD">
            <w:rPr>
              <w:rFonts w:ascii="Arial" w:hAnsi="Arial" w:cs="Arial"/>
              <w:b/>
              <w:bCs/>
              <w:sz w:val="20"/>
              <w:szCs w:val="20"/>
            </w:rPr>
            <w:t>Communities</w:t>
          </w:r>
        </w:p>
        <w:p w14:paraId="27415FB0" w14:textId="77777777" w:rsidR="00155163" w:rsidRDefault="00155163" w:rsidP="00155163">
          <w:pPr>
            <w:pStyle w:val="Footer"/>
            <w:ind w:left="-108"/>
            <w:rPr>
              <w:rFonts w:ascii="Arial" w:hAnsi="Arial" w:cs="Arial"/>
              <w:sz w:val="16"/>
              <w:szCs w:val="16"/>
            </w:rPr>
          </w:pPr>
        </w:p>
      </w:tc>
      <w:tc>
        <w:tcPr>
          <w:tcW w:w="2160" w:type="dxa"/>
        </w:tcPr>
        <w:p w14:paraId="1200A7BA" w14:textId="77777777" w:rsidR="00155163" w:rsidRDefault="00155163" w:rsidP="00155163">
          <w:pPr>
            <w:rPr>
              <w:rFonts w:ascii="Arial" w:hAnsi="Arial" w:cs="Arial"/>
              <w:sz w:val="16"/>
              <w:szCs w:val="16"/>
            </w:rPr>
          </w:pPr>
          <w:r>
            <w:rPr>
              <w:rFonts w:ascii="Arial" w:hAnsi="Arial" w:cs="Arial"/>
              <w:b/>
              <w:bCs/>
              <w:sz w:val="16"/>
              <w:szCs w:val="16"/>
            </w:rPr>
            <w:t>Southeast Office</w:t>
          </w:r>
        </w:p>
        <w:p w14:paraId="3E2F344E" w14:textId="77777777" w:rsidR="00155163" w:rsidRDefault="00155163" w:rsidP="00155163">
          <w:pPr>
            <w:rPr>
              <w:rFonts w:ascii="Arial" w:hAnsi="Arial" w:cs="Arial"/>
              <w:sz w:val="16"/>
              <w:szCs w:val="16"/>
            </w:rPr>
          </w:pPr>
          <w:r w:rsidRPr="00D2159D">
            <w:rPr>
              <w:rFonts w:ascii="Arial" w:hAnsi="Arial" w:cs="Arial"/>
              <w:sz w:val="16"/>
              <w:szCs w:val="16"/>
            </w:rPr>
            <w:t>55 Marietta St</w:t>
          </w:r>
          <w:r>
            <w:rPr>
              <w:rFonts w:ascii="Arial" w:hAnsi="Arial" w:cs="Arial"/>
              <w:sz w:val="16"/>
              <w:szCs w:val="16"/>
            </w:rPr>
            <w:br/>
            <w:t>Suite 1350</w:t>
          </w:r>
        </w:p>
        <w:p w14:paraId="33F674D8" w14:textId="77777777" w:rsidR="00155163" w:rsidRDefault="00155163" w:rsidP="00155163">
          <w:pPr>
            <w:rPr>
              <w:rFonts w:ascii="Arial" w:hAnsi="Arial" w:cs="Arial"/>
              <w:sz w:val="16"/>
              <w:szCs w:val="16"/>
            </w:rPr>
          </w:pPr>
          <w:r>
            <w:rPr>
              <w:rFonts w:ascii="Arial" w:hAnsi="Arial" w:cs="Arial"/>
              <w:sz w:val="16"/>
              <w:szCs w:val="16"/>
            </w:rPr>
            <w:t>Atlanta, GA 30303</w:t>
          </w:r>
        </w:p>
        <w:p w14:paraId="10ED5A83" w14:textId="77777777" w:rsidR="00155163" w:rsidRDefault="00155163" w:rsidP="00155163">
          <w:pPr>
            <w:rPr>
              <w:rFonts w:ascii="Arial" w:hAnsi="Arial" w:cs="Arial"/>
              <w:sz w:val="16"/>
              <w:szCs w:val="16"/>
            </w:rPr>
          </w:pPr>
          <w:r>
            <w:rPr>
              <w:rFonts w:ascii="Arial" w:hAnsi="Arial" w:cs="Arial"/>
              <w:sz w:val="16"/>
              <w:szCs w:val="16"/>
            </w:rPr>
            <w:t>Tel.: 404-892-4824</w:t>
          </w:r>
        </w:p>
        <w:p w14:paraId="7CB61779" w14:textId="77777777" w:rsidR="00155163" w:rsidRDefault="00155163" w:rsidP="00155163">
          <w:pPr>
            <w:rPr>
              <w:rFonts w:ascii="Arial" w:hAnsi="Arial" w:cs="Arial"/>
              <w:sz w:val="16"/>
              <w:szCs w:val="16"/>
            </w:rPr>
          </w:pPr>
          <w:r>
            <w:rPr>
              <w:rFonts w:ascii="Arial" w:hAnsi="Arial" w:cs="Arial"/>
              <w:sz w:val="16"/>
              <w:szCs w:val="16"/>
            </w:rPr>
            <w:t>Fax: 404-892-1204</w:t>
          </w:r>
        </w:p>
        <w:p w14:paraId="70AF6C86" w14:textId="77777777" w:rsidR="00155163" w:rsidRDefault="00155163" w:rsidP="00155163">
          <w:pPr>
            <w:pStyle w:val="Footer"/>
            <w:rPr>
              <w:rFonts w:ascii="Arial" w:hAnsi="Arial" w:cs="Arial"/>
              <w:sz w:val="16"/>
              <w:szCs w:val="16"/>
            </w:rPr>
          </w:pPr>
          <w:r>
            <w:rPr>
              <w:rFonts w:ascii="Arial" w:hAnsi="Arial" w:cs="Arial"/>
              <w:sz w:val="16"/>
              <w:szCs w:val="16"/>
            </w:rPr>
            <w:t>southeast@ruralhome.org</w:t>
          </w:r>
        </w:p>
      </w:tc>
      <w:tc>
        <w:tcPr>
          <w:tcW w:w="2160" w:type="dxa"/>
        </w:tcPr>
        <w:p w14:paraId="14E33C5B" w14:textId="77777777" w:rsidR="00155163" w:rsidRDefault="00155163" w:rsidP="00155163">
          <w:pPr>
            <w:rPr>
              <w:rFonts w:ascii="Arial" w:hAnsi="Arial" w:cs="Arial"/>
              <w:sz w:val="16"/>
              <w:szCs w:val="16"/>
            </w:rPr>
          </w:pPr>
          <w:smartTag w:uri="urn:schemas-microsoft-com:office:smarttags" w:element="place">
            <w:r>
              <w:rPr>
                <w:rFonts w:ascii="Arial" w:hAnsi="Arial" w:cs="Arial"/>
                <w:b/>
                <w:bCs/>
                <w:sz w:val="16"/>
                <w:szCs w:val="16"/>
              </w:rPr>
              <w:t>Midwest</w:t>
            </w:r>
          </w:smartTag>
          <w:r>
            <w:rPr>
              <w:rFonts w:ascii="Arial" w:hAnsi="Arial" w:cs="Arial"/>
              <w:b/>
              <w:bCs/>
              <w:sz w:val="16"/>
              <w:szCs w:val="16"/>
            </w:rPr>
            <w:t xml:space="preserve"> Office</w:t>
          </w:r>
        </w:p>
        <w:p w14:paraId="6C8F2348" w14:textId="77777777" w:rsidR="00155163" w:rsidRDefault="00155163" w:rsidP="00155163">
          <w:pPr>
            <w:rPr>
              <w:rFonts w:ascii="Arial" w:hAnsi="Arial" w:cs="Arial"/>
              <w:sz w:val="16"/>
              <w:szCs w:val="16"/>
            </w:rPr>
          </w:pPr>
          <w:r>
            <w:rPr>
              <w:rFonts w:ascii="Arial" w:hAnsi="Arial" w:cs="Arial"/>
              <w:sz w:val="16"/>
              <w:szCs w:val="16"/>
            </w:rPr>
            <w:t>10100 Ambassador Dr.</w:t>
          </w:r>
        </w:p>
        <w:p w14:paraId="4A497226" w14:textId="77777777" w:rsidR="00155163" w:rsidRDefault="00155163" w:rsidP="00155163">
          <w:pPr>
            <w:rPr>
              <w:rFonts w:ascii="Arial" w:hAnsi="Arial" w:cs="Arial"/>
              <w:sz w:val="16"/>
              <w:szCs w:val="16"/>
            </w:rPr>
          </w:pPr>
          <w:smartTag w:uri="urn:schemas-microsoft-com:office:smarttags" w:element="Street">
            <w:r>
              <w:rPr>
                <w:rFonts w:ascii="Arial" w:hAnsi="Arial" w:cs="Arial"/>
                <w:sz w:val="16"/>
                <w:szCs w:val="16"/>
              </w:rPr>
              <w:t>Suite</w:t>
            </w:r>
          </w:smartTag>
          <w:r>
            <w:rPr>
              <w:rFonts w:ascii="Arial" w:hAnsi="Arial" w:cs="Arial"/>
              <w:sz w:val="16"/>
              <w:szCs w:val="16"/>
            </w:rPr>
            <w:t xml:space="preserve"> 310</w:t>
          </w:r>
        </w:p>
        <w:p w14:paraId="7EACF258" w14:textId="77777777" w:rsidR="00155163" w:rsidRDefault="00155163" w:rsidP="00155163">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Kansas City</w:t>
              </w:r>
            </w:smartTag>
            <w:r>
              <w:rPr>
                <w:rFonts w:ascii="Arial" w:hAnsi="Arial" w:cs="Arial"/>
                <w:sz w:val="16"/>
                <w:szCs w:val="16"/>
              </w:rPr>
              <w:t xml:space="preserve">, </w:t>
            </w:r>
            <w:smartTag w:uri="urn:schemas-microsoft-com:office:smarttags" w:element="State">
              <w:r>
                <w:rPr>
                  <w:rFonts w:ascii="Arial" w:hAnsi="Arial" w:cs="Arial"/>
                  <w:sz w:val="16"/>
                  <w:szCs w:val="16"/>
                </w:rPr>
                <w:t>MO</w:t>
              </w:r>
            </w:smartTag>
            <w:r>
              <w:rPr>
                <w:rFonts w:ascii="Arial" w:hAnsi="Arial" w:cs="Arial"/>
                <w:sz w:val="16"/>
                <w:szCs w:val="16"/>
              </w:rPr>
              <w:t xml:space="preserve"> </w:t>
            </w:r>
            <w:smartTag w:uri="urn:schemas-microsoft-com:office:smarttags" w:element="PostalCode">
              <w:r>
                <w:rPr>
                  <w:rFonts w:ascii="Arial" w:hAnsi="Arial" w:cs="Arial"/>
                  <w:sz w:val="16"/>
                  <w:szCs w:val="16"/>
                </w:rPr>
                <w:t>64153</w:t>
              </w:r>
            </w:smartTag>
          </w:smartTag>
        </w:p>
        <w:p w14:paraId="4BDA124E" w14:textId="77777777" w:rsidR="00155163" w:rsidRDefault="00155163" w:rsidP="00155163">
          <w:pPr>
            <w:rPr>
              <w:rFonts w:ascii="Arial" w:hAnsi="Arial" w:cs="Arial"/>
              <w:sz w:val="16"/>
              <w:szCs w:val="16"/>
            </w:rPr>
          </w:pPr>
          <w:r>
            <w:rPr>
              <w:rFonts w:ascii="Arial" w:hAnsi="Arial" w:cs="Arial"/>
              <w:sz w:val="16"/>
              <w:szCs w:val="16"/>
            </w:rPr>
            <w:t>Tel.: 816-880-0400</w:t>
          </w:r>
        </w:p>
        <w:p w14:paraId="07FD0964" w14:textId="77777777" w:rsidR="00155163" w:rsidRDefault="00155163" w:rsidP="00155163">
          <w:pPr>
            <w:rPr>
              <w:rFonts w:ascii="Arial" w:hAnsi="Arial" w:cs="Arial"/>
              <w:sz w:val="16"/>
              <w:szCs w:val="16"/>
            </w:rPr>
          </w:pPr>
          <w:r>
            <w:rPr>
              <w:rFonts w:ascii="Arial" w:hAnsi="Arial" w:cs="Arial"/>
              <w:sz w:val="16"/>
              <w:szCs w:val="16"/>
            </w:rPr>
            <w:t>Fax: 816-880-0500</w:t>
          </w:r>
        </w:p>
        <w:p w14:paraId="115DE6A5" w14:textId="77777777" w:rsidR="00155163" w:rsidRDefault="00155163" w:rsidP="00155163">
          <w:pPr>
            <w:pStyle w:val="Footer"/>
            <w:rPr>
              <w:rFonts w:ascii="Arial" w:hAnsi="Arial" w:cs="Arial"/>
              <w:sz w:val="16"/>
              <w:szCs w:val="16"/>
            </w:rPr>
          </w:pPr>
          <w:r>
            <w:rPr>
              <w:rFonts w:ascii="Arial" w:hAnsi="Arial" w:cs="Arial"/>
              <w:sz w:val="16"/>
              <w:szCs w:val="16"/>
            </w:rPr>
            <w:t>midwest@ruralhome.org</w:t>
          </w:r>
        </w:p>
      </w:tc>
      <w:tc>
        <w:tcPr>
          <w:tcW w:w="2160" w:type="dxa"/>
        </w:tcPr>
        <w:p w14:paraId="5A660CF3" w14:textId="77777777" w:rsidR="00155163" w:rsidRDefault="00155163" w:rsidP="00155163">
          <w:pPr>
            <w:rPr>
              <w:rFonts w:ascii="Arial" w:hAnsi="Arial" w:cs="Arial"/>
              <w:sz w:val="16"/>
              <w:szCs w:val="16"/>
            </w:rPr>
          </w:pPr>
          <w:r>
            <w:rPr>
              <w:rFonts w:ascii="Arial" w:hAnsi="Arial" w:cs="Arial"/>
              <w:b/>
              <w:bCs/>
              <w:sz w:val="16"/>
              <w:szCs w:val="16"/>
            </w:rPr>
            <w:t>Southwest Office</w:t>
          </w:r>
        </w:p>
        <w:p w14:paraId="180BAB49" w14:textId="77777777" w:rsidR="00155163" w:rsidRDefault="00155163" w:rsidP="00155163">
          <w:pPr>
            <w:rPr>
              <w:rFonts w:ascii="Arial" w:hAnsi="Arial" w:cs="Arial"/>
              <w:sz w:val="16"/>
              <w:szCs w:val="16"/>
            </w:rPr>
          </w:pPr>
          <w:r>
            <w:rPr>
              <w:rFonts w:ascii="Arial" w:hAnsi="Arial" w:cs="Arial"/>
              <w:sz w:val="16"/>
              <w:szCs w:val="16"/>
            </w:rPr>
            <w:t>PO Box 399</w:t>
          </w:r>
        </w:p>
        <w:p w14:paraId="12B6BD4E" w14:textId="77777777" w:rsidR="00155163" w:rsidRDefault="00155163" w:rsidP="00155163">
          <w:pPr>
            <w:rPr>
              <w:rFonts w:ascii="Arial" w:hAnsi="Arial" w:cs="Arial"/>
              <w:sz w:val="16"/>
              <w:szCs w:val="16"/>
            </w:rPr>
          </w:pPr>
          <w:r>
            <w:rPr>
              <w:rFonts w:ascii="Arial" w:hAnsi="Arial" w:cs="Arial"/>
              <w:sz w:val="16"/>
              <w:szCs w:val="16"/>
            </w:rPr>
            <w:t>San Miguel, NM 88058</w:t>
          </w:r>
        </w:p>
        <w:p w14:paraId="07890C24" w14:textId="77777777" w:rsidR="00155163" w:rsidRDefault="00155163" w:rsidP="00155163">
          <w:pPr>
            <w:rPr>
              <w:rFonts w:ascii="Arial" w:hAnsi="Arial" w:cs="Arial"/>
              <w:sz w:val="16"/>
              <w:szCs w:val="16"/>
            </w:rPr>
          </w:pPr>
          <w:r>
            <w:rPr>
              <w:rFonts w:ascii="Arial" w:hAnsi="Arial" w:cs="Arial"/>
              <w:sz w:val="16"/>
              <w:szCs w:val="16"/>
            </w:rPr>
            <w:t>Tel.: 505-883-1003</w:t>
          </w:r>
        </w:p>
        <w:p w14:paraId="2FA37A66" w14:textId="77777777" w:rsidR="00155163" w:rsidRDefault="00155163" w:rsidP="00155163">
          <w:pPr>
            <w:pStyle w:val="Footer"/>
            <w:rPr>
              <w:rFonts w:ascii="Arial" w:hAnsi="Arial" w:cs="Arial"/>
              <w:sz w:val="16"/>
              <w:szCs w:val="16"/>
            </w:rPr>
          </w:pPr>
          <w:r>
            <w:rPr>
              <w:rFonts w:ascii="Arial" w:hAnsi="Arial" w:cs="Arial"/>
              <w:sz w:val="16"/>
              <w:szCs w:val="16"/>
            </w:rPr>
            <w:t>southwest@ruralhome.org</w:t>
          </w:r>
        </w:p>
      </w:tc>
    </w:tr>
  </w:tbl>
  <w:p w14:paraId="3F9E29D7" w14:textId="77777777" w:rsidR="00155163" w:rsidRDefault="00155163" w:rsidP="00155163">
    <w:pPr>
      <w:pStyle w:val="Footer"/>
    </w:pPr>
    <w:r>
      <w:rPr>
        <w:rFonts w:ascii="Arial" w:hAnsi="Arial" w:cs="Arial"/>
        <w:sz w:val="16"/>
        <w:szCs w:val="16"/>
      </w:rPr>
      <w:tab/>
    </w:r>
    <w:r>
      <w:rPr>
        <w:rFonts w:ascii="Arial" w:hAnsi="Arial" w:cs="Arial"/>
        <w:b/>
        <w:bCs/>
        <w:sz w:val="16"/>
        <w:szCs w:val="16"/>
      </w:rPr>
      <w:t>HAC is an equal opportunity lender.</w:t>
    </w:r>
  </w:p>
  <w:p w14:paraId="31B7E231" w14:textId="77777777" w:rsidR="00155163" w:rsidRDefault="00155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EEB5F" w14:textId="77777777" w:rsidR="00BC0B0C" w:rsidRDefault="00BC0B0C">
      <w:r>
        <w:separator/>
      </w:r>
    </w:p>
  </w:footnote>
  <w:footnote w:type="continuationSeparator" w:id="0">
    <w:p w14:paraId="616C5962" w14:textId="77777777" w:rsidR="00BC0B0C" w:rsidRDefault="00BC0B0C">
      <w:r>
        <w:continuationSeparator/>
      </w:r>
    </w:p>
  </w:footnote>
  <w:footnote w:type="continuationNotice" w:id="1">
    <w:p w14:paraId="6EC53501" w14:textId="77777777" w:rsidR="00BC0B0C" w:rsidRDefault="00BC0B0C"/>
  </w:footnote>
  <w:footnote w:id="2">
    <w:p w14:paraId="01E6654A" w14:textId="77777777" w:rsidR="00C171B1" w:rsidRDefault="00C171B1" w:rsidP="00C171B1">
      <w:pPr>
        <w:pStyle w:val="FootnoteText"/>
      </w:pPr>
      <w:r>
        <w:rPr>
          <w:rStyle w:val="FootnoteReference"/>
        </w:rPr>
        <w:footnoteRef/>
      </w:r>
      <w:r>
        <w:t xml:space="preserve"> </w:t>
      </w:r>
      <w:hyperlink r:id="rId1" w:history="1">
        <w:r w:rsidRPr="00A2639C">
          <w:rPr>
            <w:rStyle w:val="Hyperlink"/>
          </w:rPr>
          <w:t>https://www.dol.gov/whd/minwage/mw-consolidated.htm</w:t>
        </w:r>
      </w:hyperlink>
      <w:r>
        <w:t>. Visited 9/28/2018.</w:t>
      </w:r>
      <w:r w:rsidR="000C7F10">
        <w:t xml:space="preserve"> </w:t>
      </w:r>
      <w:r>
        <w:t xml:space="preserve">Washington DC has a higher minimum wage but has no eligible rural areas. </w:t>
      </w:r>
    </w:p>
  </w:footnote>
  <w:footnote w:id="3">
    <w:p w14:paraId="7EC86DA5" w14:textId="4473DD98" w:rsidR="00C171B1" w:rsidRDefault="00C171B1" w:rsidP="00C171B1">
      <w:pPr>
        <w:pStyle w:val="FootnoteText"/>
      </w:pPr>
      <w:r>
        <w:rPr>
          <w:rStyle w:val="FootnoteReference"/>
        </w:rPr>
        <w:footnoteRef/>
      </w:r>
      <w:r>
        <w:t xml:space="preserve"> </w:t>
      </w:r>
      <w:hyperlink r:id="rId2" w:history="1">
        <w:r w:rsidRPr="00164D17">
          <w:rPr>
            <w:rStyle w:val="Hyperlink"/>
          </w:rPr>
          <w:t>https://www.huduser.gov/portal/datasets/il//il18/IncomeLimitsMethodology-FY18.pdf</w:t>
        </w:r>
      </w:hyperlink>
      <w:r w:rsidR="001C676B">
        <w:rPr>
          <w:rStyle w:val="Hyperlink"/>
        </w:rPr>
        <w:t>.</w:t>
      </w:r>
      <w:r>
        <w:t xml:space="preserve"> Visited 9/28/2018.</w:t>
      </w:r>
      <w:r w:rsidR="000C7F10">
        <w:t xml:space="preserve"> </w:t>
      </w:r>
    </w:p>
  </w:footnote>
  <w:footnote w:id="4">
    <w:p w14:paraId="6A2341C3" w14:textId="77777777" w:rsidR="00F16837" w:rsidRDefault="00F16837">
      <w:pPr>
        <w:pStyle w:val="FootnoteText"/>
      </w:pPr>
      <w:r>
        <w:rPr>
          <w:rStyle w:val="FootnoteReference"/>
        </w:rPr>
        <w:footnoteRef/>
      </w:r>
      <w:r>
        <w:t xml:space="preserve"> The conforming limit is the </w:t>
      </w:r>
      <w:r w:rsidR="00572FB1">
        <w:t xml:space="preserve">loan </w:t>
      </w:r>
      <w:r w:rsidR="00B408B9">
        <w:t>limit</w:t>
      </w:r>
      <w:r w:rsidR="00572FB1">
        <w:t xml:space="preserve"> for GSE (Freddie Mac and Fannie Mae) loans. </w:t>
      </w:r>
    </w:p>
  </w:footnote>
  <w:footnote w:id="5">
    <w:p w14:paraId="659EB91E" w14:textId="77777777" w:rsidR="00F73FCC" w:rsidRDefault="00F73FCC">
      <w:pPr>
        <w:pStyle w:val="FootnoteText"/>
      </w:pPr>
      <w:r>
        <w:rPr>
          <w:rStyle w:val="FootnoteReference"/>
        </w:rPr>
        <w:footnoteRef/>
      </w:r>
      <w:r>
        <w:t xml:space="preserve"> </w:t>
      </w:r>
      <w:hyperlink r:id="rId3" w:history="1">
        <w:r w:rsidRPr="008F1608">
          <w:rPr>
            <w:rStyle w:val="Hyperlink"/>
          </w:rPr>
          <w:t>https://www.hud.gov/sites/dfiles/OCHCO/documents/17-16ml.pdf</w:t>
        </w:r>
      </w:hyperlink>
      <w:r>
        <w:t xml:space="preserve"> Visited 10/11/</w:t>
      </w:r>
      <w:r w:rsidR="00F16837">
        <w:t>2018</w:t>
      </w:r>
    </w:p>
  </w:footnote>
  <w:footnote w:id="6">
    <w:p w14:paraId="1530A797" w14:textId="77777777" w:rsidR="00C171B1" w:rsidRDefault="00C171B1" w:rsidP="00C171B1">
      <w:pPr>
        <w:pStyle w:val="FootnoteText"/>
      </w:pPr>
      <w:r>
        <w:rPr>
          <w:rStyle w:val="FootnoteReference"/>
        </w:rPr>
        <w:footnoteRef/>
      </w:r>
      <w:r>
        <w:t xml:space="preserve"> In most cases, subsidy per month was based on a 1 percent equivalent interest rate which is the limiting factor for payment assistance.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BBBA8" w14:textId="77777777" w:rsidR="00F666FC" w:rsidRDefault="00004E9E">
    <w:pPr>
      <w:pStyle w:val="Header"/>
    </w:pPr>
    <w:r>
      <w:rPr>
        <w:noProof/>
      </w:rPr>
      <w:pict w14:anchorId="579556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83894" o:spid="_x0000_s2053" type="#_x0000_t136" style="position:absolute;margin-left:0;margin-top:0;width:496.7pt;height:198.65pt;rotation:315;z-index:-25165823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EB307" w14:textId="77777777" w:rsidR="00155163" w:rsidRDefault="00155163">
    <w:pPr>
      <w:pStyle w:val="Header"/>
    </w:pPr>
  </w:p>
  <w:p w14:paraId="3906E584" w14:textId="77777777" w:rsidR="00B55574" w:rsidRPr="00B55574" w:rsidRDefault="00004E9E" w:rsidP="000E0E5B">
    <w:pPr>
      <w:pStyle w:val="Header"/>
      <w:ind w:left="-360"/>
      <w:rPr>
        <w:rFonts w:asciiTheme="minorHAnsi" w:hAnsiTheme="minorHAnsi" w:cstheme="minorHAnsi"/>
        <w:bCs/>
        <w:sz w:val="22"/>
        <w:szCs w:val="22"/>
      </w:rPr>
    </w:pPr>
    <w:r>
      <w:rPr>
        <w:noProof/>
      </w:rPr>
      <w:pict w14:anchorId="17173F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83895" o:spid="_x0000_s2054" type="#_x0000_t136" style="position:absolute;left:0;text-align:left;margin-left:0;margin-top:0;width:496.7pt;height:198.65pt;rotation:315;z-index:-251658233;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43F8E" w14:textId="77777777" w:rsidR="00155163" w:rsidRDefault="00155163" w:rsidP="00155163">
    <w:pPr>
      <w:pStyle w:val="Heading1"/>
      <w:ind w:left="720"/>
      <w:rPr>
        <w:rFonts w:ascii="Arial Black" w:hAnsi="Arial Black"/>
        <w:sz w:val="28"/>
      </w:rPr>
    </w:pPr>
    <w:r>
      <w:rPr>
        <w:noProof/>
        <w:sz w:val="20"/>
      </w:rPr>
      <w:drawing>
        <wp:anchor distT="0" distB="0" distL="114300" distR="114300" simplePos="0" relativeHeight="251661319" behindDoc="0" locked="0" layoutInCell="1" allowOverlap="1" wp14:anchorId="71DAE5F5" wp14:editId="75B4DB17">
          <wp:simplePos x="0" y="0"/>
          <wp:positionH relativeFrom="leftMargin">
            <wp:align>right</wp:align>
          </wp:positionH>
          <wp:positionV relativeFrom="paragraph">
            <wp:posOffset>-218440</wp:posOffset>
          </wp:positionV>
          <wp:extent cx="829945" cy="1028700"/>
          <wp:effectExtent l="0" t="0" r="8255" b="0"/>
          <wp:wrapTight wrapText="bothSides">
            <wp:wrapPolygon edited="0">
              <wp:start x="0" y="0"/>
              <wp:lineTo x="0" y="21200"/>
              <wp:lineTo x="21319" y="21200"/>
              <wp:lineTo x="21319" y="0"/>
              <wp:lineTo x="0" y="0"/>
            </wp:wrapPolygon>
          </wp:wrapTight>
          <wp:docPr id="8" name="Picture 8" descr="HAC_logo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C_logo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945" cy="1028700"/>
                  </a:xfrm>
                  <a:prstGeom prst="rect">
                    <a:avLst/>
                  </a:prstGeom>
                  <a:noFill/>
                </pic:spPr>
              </pic:pic>
            </a:graphicData>
          </a:graphic>
          <wp14:sizeRelH relativeFrom="page">
            <wp14:pctWidth>0</wp14:pctWidth>
          </wp14:sizeRelH>
          <wp14:sizeRelV relativeFrom="page">
            <wp14:pctHeight>0</wp14:pctHeight>
          </wp14:sizeRelV>
        </wp:anchor>
      </w:drawing>
    </w:r>
  </w:p>
  <w:p w14:paraId="4EC70699" w14:textId="77777777" w:rsidR="00155163" w:rsidRDefault="00155163" w:rsidP="00155163">
    <w:pPr>
      <w:pStyle w:val="Heading1"/>
      <w:ind w:left="720"/>
    </w:pPr>
    <w:r>
      <w:t>Housing Assistance Council</w:t>
    </w:r>
  </w:p>
  <w:p w14:paraId="4454F785" w14:textId="77777777" w:rsidR="00155163" w:rsidRDefault="00155163" w:rsidP="00155163">
    <w:pPr>
      <w:ind w:left="720" w:right="-1080"/>
      <w:rPr>
        <w:rFonts w:ascii="Arial" w:hAnsi="Arial" w:cs="Arial"/>
        <w:sz w:val="15"/>
        <w:szCs w:val="16"/>
      </w:rPr>
    </w:pPr>
    <w:smartTag w:uri="urn:schemas-microsoft-com:office:smarttags" w:element="address">
      <w:smartTag w:uri="urn:schemas-microsoft-com:office:smarttags" w:element="Street">
        <w:r>
          <w:rPr>
            <w:rFonts w:ascii="Arial" w:hAnsi="Arial" w:cs="Arial"/>
            <w:sz w:val="15"/>
            <w:szCs w:val="16"/>
          </w:rPr>
          <w:t>1025 Vermont Ave., N.W., Suite 606</w:t>
        </w:r>
      </w:smartTag>
      <w:r>
        <w:rPr>
          <w:rFonts w:ascii="Arial" w:hAnsi="Arial" w:cs="Arial"/>
          <w:sz w:val="15"/>
          <w:szCs w:val="16"/>
        </w:rPr>
        <w:t xml:space="preserve">, </w:t>
      </w:r>
      <w:smartTag w:uri="urn:schemas-microsoft-com:office:smarttags" w:element="City">
        <w:r>
          <w:rPr>
            <w:rFonts w:ascii="Arial" w:hAnsi="Arial" w:cs="Arial"/>
            <w:sz w:val="15"/>
            <w:szCs w:val="16"/>
          </w:rPr>
          <w:t>Washington</w:t>
        </w:r>
      </w:smartTag>
      <w:r>
        <w:rPr>
          <w:rFonts w:ascii="Arial" w:hAnsi="Arial" w:cs="Arial"/>
          <w:sz w:val="15"/>
          <w:szCs w:val="16"/>
        </w:rPr>
        <w:t xml:space="preserve">, </w:t>
      </w:r>
      <w:smartTag w:uri="urn:schemas-microsoft-com:office:smarttags" w:element="State">
        <w:r>
          <w:rPr>
            <w:rFonts w:ascii="Arial" w:hAnsi="Arial" w:cs="Arial"/>
            <w:sz w:val="15"/>
            <w:szCs w:val="16"/>
          </w:rPr>
          <w:t>DC</w:t>
        </w:r>
      </w:smartTag>
      <w:r>
        <w:rPr>
          <w:rFonts w:ascii="Arial" w:hAnsi="Arial" w:cs="Arial"/>
          <w:sz w:val="15"/>
          <w:szCs w:val="16"/>
        </w:rPr>
        <w:t xml:space="preserve"> </w:t>
      </w:r>
      <w:smartTag w:uri="urn:schemas-microsoft-com:office:smarttags" w:element="PostalCode">
        <w:r>
          <w:rPr>
            <w:rFonts w:ascii="Arial" w:hAnsi="Arial" w:cs="Arial"/>
            <w:sz w:val="15"/>
            <w:szCs w:val="16"/>
          </w:rPr>
          <w:t>20005</w:t>
        </w:r>
      </w:smartTag>
    </w:smartTag>
    <w:r>
      <w:rPr>
        <w:rFonts w:ascii="Arial" w:hAnsi="Arial" w:cs="Arial"/>
        <w:sz w:val="15"/>
        <w:szCs w:val="16"/>
      </w:rPr>
      <w:t>, Tel.: 202-842-8600, Fax: 202-347-3441, E-mail: hac@ruralhome.org</w:t>
    </w:r>
  </w:p>
  <w:p w14:paraId="0AA87E4A" w14:textId="77777777" w:rsidR="00155163" w:rsidRDefault="00155163" w:rsidP="00155163">
    <w:pPr>
      <w:ind w:left="720" w:right="-1080"/>
      <w:rPr>
        <w:rFonts w:ascii="Arial" w:hAnsi="Arial" w:cs="Arial"/>
        <w:sz w:val="16"/>
        <w:szCs w:val="16"/>
      </w:rPr>
    </w:pPr>
    <w:r>
      <w:rPr>
        <w:rFonts w:ascii="Arial" w:hAnsi="Arial" w:cs="Arial"/>
        <w:noProof/>
        <w:sz w:val="18"/>
        <w:szCs w:val="48"/>
      </w:rPr>
      <mc:AlternateContent>
        <mc:Choice Requires="wps">
          <w:drawing>
            <wp:anchor distT="0" distB="0" distL="114300" distR="114300" simplePos="0" relativeHeight="251660295" behindDoc="0" locked="0" layoutInCell="1" allowOverlap="1" wp14:anchorId="3646018F" wp14:editId="36B69CB2">
              <wp:simplePos x="0" y="0"/>
              <wp:positionH relativeFrom="column">
                <wp:posOffset>457200</wp:posOffset>
              </wp:positionH>
              <wp:positionV relativeFrom="paragraph">
                <wp:posOffset>43180</wp:posOffset>
              </wp:positionV>
              <wp:extent cx="5600700" cy="7620"/>
              <wp:effectExtent l="9525" t="5080" r="952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ADDE8" id="Line 2" o:spid="_x0000_s1026" style="position:absolute;z-index:251660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4pt" to="4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njaFg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"/>
          </w:pict>
        </mc:Fallback>
      </mc:AlternateContent>
    </w:r>
  </w:p>
  <w:p w14:paraId="7D018F9B" w14:textId="77777777" w:rsidR="00155163" w:rsidRDefault="00155163" w:rsidP="00155163">
    <w:pPr>
      <w:pStyle w:val="Header"/>
      <w:ind w:left="7920"/>
      <w:jc w:val="center"/>
      <w:rPr>
        <w:b/>
        <w:bCs/>
        <w:sz w:val="15"/>
      </w:rPr>
    </w:pPr>
    <w:r>
      <w:rPr>
        <w:rFonts w:ascii="Arial" w:hAnsi="Arial" w:cs="Arial"/>
        <w:b/>
        <w:bCs/>
        <w:sz w:val="15"/>
        <w:szCs w:val="48"/>
      </w:rPr>
      <w:t xml:space="preserve">www.ruralhome.org       </w:t>
    </w:r>
  </w:p>
  <w:p w14:paraId="3FEF2C63" w14:textId="77777777" w:rsidR="00F666FC" w:rsidRDefault="00004E9E">
    <w:pPr>
      <w:pStyle w:val="Header"/>
    </w:pPr>
    <w:r>
      <w:rPr>
        <w:noProof/>
      </w:rPr>
      <w:pict w14:anchorId="16A639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83893" o:spid="_x0000_s2052" type="#_x0000_t136" style="position:absolute;margin-left:0;margin-top:0;width:496.7pt;height:198.65pt;rotation:315;z-index:-251658235;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692"/>
    <w:rsid w:val="00004E9E"/>
    <w:rsid w:val="0001553B"/>
    <w:rsid w:val="00021D26"/>
    <w:rsid w:val="00045A46"/>
    <w:rsid w:val="00047E9B"/>
    <w:rsid w:val="00053C7F"/>
    <w:rsid w:val="000567FF"/>
    <w:rsid w:val="00057E8B"/>
    <w:rsid w:val="000628C6"/>
    <w:rsid w:val="00066BAB"/>
    <w:rsid w:val="0007258F"/>
    <w:rsid w:val="0009201A"/>
    <w:rsid w:val="000A2C6A"/>
    <w:rsid w:val="000B0682"/>
    <w:rsid w:val="000B513A"/>
    <w:rsid w:val="000B6453"/>
    <w:rsid w:val="000C7F10"/>
    <w:rsid w:val="000D3E56"/>
    <w:rsid w:val="000E0E5B"/>
    <w:rsid w:val="001006D4"/>
    <w:rsid w:val="00102CAE"/>
    <w:rsid w:val="001058DD"/>
    <w:rsid w:val="001111A9"/>
    <w:rsid w:val="00114595"/>
    <w:rsid w:val="00120715"/>
    <w:rsid w:val="00124982"/>
    <w:rsid w:val="001272B2"/>
    <w:rsid w:val="001511AB"/>
    <w:rsid w:val="00155163"/>
    <w:rsid w:val="001635D2"/>
    <w:rsid w:val="00164CCD"/>
    <w:rsid w:val="00165814"/>
    <w:rsid w:val="00173149"/>
    <w:rsid w:val="00173292"/>
    <w:rsid w:val="00174CE9"/>
    <w:rsid w:val="001751B0"/>
    <w:rsid w:val="001A213B"/>
    <w:rsid w:val="001B5BE8"/>
    <w:rsid w:val="001C0720"/>
    <w:rsid w:val="001C618D"/>
    <w:rsid w:val="001C676B"/>
    <w:rsid w:val="001D569B"/>
    <w:rsid w:val="001D7B3D"/>
    <w:rsid w:val="001E3E26"/>
    <w:rsid w:val="001E58CE"/>
    <w:rsid w:val="00206F39"/>
    <w:rsid w:val="00224375"/>
    <w:rsid w:val="00227EBD"/>
    <w:rsid w:val="00242193"/>
    <w:rsid w:val="002474BE"/>
    <w:rsid w:val="00250C47"/>
    <w:rsid w:val="00253CBB"/>
    <w:rsid w:val="002543C5"/>
    <w:rsid w:val="002573CD"/>
    <w:rsid w:val="0026130D"/>
    <w:rsid w:val="00274E29"/>
    <w:rsid w:val="002776AF"/>
    <w:rsid w:val="00280420"/>
    <w:rsid w:val="00281B01"/>
    <w:rsid w:val="00285F9D"/>
    <w:rsid w:val="002873F9"/>
    <w:rsid w:val="002919D8"/>
    <w:rsid w:val="002B288B"/>
    <w:rsid w:val="002C4F70"/>
    <w:rsid w:val="002D4A40"/>
    <w:rsid w:val="002D545B"/>
    <w:rsid w:val="002D746B"/>
    <w:rsid w:val="002E6272"/>
    <w:rsid w:val="00303737"/>
    <w:rsid w:val="003159E6"/>
    <w:rsid w:val="00326F9F"/>
    <w:rsid w:val="003359F0"/>
    <w:rsid w:val="0035238B"/>
    <w:rsid w:val="003616A6"/>
    <w:rsid w:val="00374699"/>
    <w:rsid w:val="00377AC9"/>
    <w:rsid w:val="003801D1"/>
    <w:rsid w:val="003821BD"/>
    <w:rsid w:val="0038749F"/>
    <w:rsid w:val="003A4317"/>
    <w:rsid w:val="003A4D8D"/>
    <w:rsid w:val="003A5EA0"/>
    <w:rsid w:val="003A63D2"/>
    <w:rsid w:val="003C2527"/>
    <w:rsid w:val="003C5BFD"/>
    <w:rsid w:val="003C725A"/>
    <w:rsid w:val="003C7625"/>
    <w:rsid w:val="003D0513"/>
    <w:rsid w:val="003D189B"/>
    <w:rsid w:val="003D390D"/>
    <w:rsid w:val="004011A7"/>
    <w:rsid w:val="0040377C"/>
    <w:rsid w:val="00407887"/>
    <w:rsid w:val="0041052C"/>
    <w:rsid w:val="00411DBE"/>
    <w:rsid w:val="00414D3C"/>
    <w:rsid w:val="00424EC1"/>
    <w:rsid w:val="00427C53"/>
    <w:rsid w:val="004301D4"/>
    <w:rsid w:val="00455268"/>
    <w:rsid w:val="00464F99"/>
    <w:rsid w:val="0046631C"/>
    <w:rsid w:val="00485784"/>
    <w:rsid w:val="004875B3"/>
    <w:rsid w:val="004A1088"/>
    <w:rsid w:val="004A5C48"/>
    <w:rsid w:val="004A6C1A"/>
    <w:rsid w:val="004D6F0F"/>
    <w:rsid w:val="004E2819"/>
    <w:rsid w:val="004E610F"/>
    <w:rsid w:val="004F3B7F"/>
    <w:rsid w:val="004F5B98"/>
    <w:rsid w:val="00506ABD"/>
    <w:rsid w:val="00511804"/>
    <w:rsid w:val="00512D6E"/>
    <w:rsid w:val="0052071C"/>
    <w:rsid w:val="00521C8F"/>
    <w:rsid w:val="0052537E"/>
    <w:rsid w:val="005306BB"/>
    <w:rsid w:val="0053493A"/>
    <w:rsid w:val="005422DF"/>
    <w:rsid w:val="005435DE"/>
    <w:rsid w:val="00544074"/>
    <w:rsid w:val="005654FC"/>
    <w:rsid w:val="00572FB1"/>
    <w:rsid w:val="00573BAE"/>
    <w:rsid w:val="00574D07"/>
    <w:rsid w:val="005812DC"/>
    <w:rsid w:val="0058291D"/>
    <w:rsid w:val="00586760"/>
    <w:rsid w:val="005870A9"/>
    <w:rsid w:val="00592207"/>
    <w:rsid w:val="00595527"/>
    <w:rsid w:val="005A1692"/>
    <w:rsid w:val="005B4872"/>
    <w:rsid w:val="005D417F"/>
    <w:rsid w:val="005E3FCC"/>
    <w:rsid w:val="005E732E"/>
    <w:rsid w:val="005F4529"/>
    <w:rsid w:val="005F6E02"/>
    <w:rsid w:val="006042AB"/>
    <w:rsid w:val="006048BD"/>
    <w:rsid w:val="0060725F"/>
    <w:rsid w:val="0062457A"/>
    <w:rsid w:val="00630057"/>
    <w:rsid w:val="00632B24"/>
    <w:rsid w:val="00633A93"/>
    <w:rsid w:val="006360E9"/>
    <w:rsid w:val="00664A12"/>
    <w:rsid w:val="00665E1B"/>
    <w:rsid w:val="00677D7C"/>
    <w:rsid w:val="00681F53"/>
    <w:rsid w:val="006828FD"/>
    <w:rsid w:val="00683FEF"/>
    <w:rsid w:val="006B639D"/>
    <w:rsid w:val="006B667C"/>
    <w:rsid w:val="006C3FF1"/>
    <w:rsid w:val="006D3070"/>
    <w:rsid w:val="006F0ED6"/>
    <w:rsid w:val="006F1586"/>
    <w:rsid w:val="00726468"/>
    <w:rsid w:val="007336BB"/>
    <w:rsid w:val="00747E39"/>
    <w:rsid w:val="007523DE"/>
    <w:rsid w:val="00755BF0"/>
    <w:rsid w:val="00776431"/>
    <w:rsid w:val="0079625C"/>
    <w:rsid w:val="0079781C"/>
    <w:rsid w:val="007A0B5C"/>
    <w:rsid w:val="007B44F3"/>
    <w:rsid w:val="007C4865"/>
    <w:rsid w:val="007C692D"/>
    <w:rsid w:val="007D0644"/>
    <w:rsid w:val="007D6520"/>
    <w:rsid w:val="007E7E91"/>
    <w:rsid w:val="007F4628"/>
    <w:rsid w:val="007F666A"/>
    <w:rsid w:val="0080095C"/>
    <w:rsid w:val="00804477"/>
    <w:rsid w:val="0080447E"/>
    <w:rsid w:val="008155EE"/>
    <w:rsid w:val="0082258A"/>
    <w:rsid w:val="0082543A"/>
    <w:rsid w:val="00826761"/>
    <w:rsid w:val="008354D8"/>
    <w:rsid w:val="00835B02"/>
    <w:rsid w:val="00836D36"/>
    <w:rsid w:val="00837945"/>
    <w:rsid w:val="00850FEB"/>
    <w:rsid w:val="008518A2"/>
    <w:rsid w:val="0085299C"/>
    <w:rsid w:val="00861443"/>
    <w:rsid w:val="008816C7"/>
    <w:rsid w:val="00883ED4"/>
    <w:rsid w:val="008910EA"/>
    <w:rsid w:val="008938A0"/>
    <w:rsid w:val="0089404E"/>
    <w:rsid w:val="008A4E0D"/>
    <w:rsid w:val="008A5DD6"/>
    <w:rsid w:val="008A699A"/>
    <w:rsid w:val="008B43F3"/>
    <w:rsid w:val="008B734C"/>
    <w:rsid w:val="008D6668"/>
    <w:rsid w:val="008E0A67"/>
    <w:rsid w:val="008E1C5F"/>
    <w:rsid w:val="008F4C2A"/>
    <w:rsid w:val="008F705F"/>
    <w:rsid w:val="009013F5"/>
    <w:rsid w:val="009114A4"/>
    <w:rsid w:val="00913B16"/>
    <w:rsid w:val="00940F58"/>
    <w:rsid w:val="009424C1"/>
    <w:rsid w:val="00946D80"/>
    <w:rsid w:val="009576BB"/>
    <w:rsid w:val="009659E5"/>
    <w:rsid w:val="00972A5E"/>
    <w:rsid w:val="00981580"/>
    <w:rsid w:val="009B758D"/>
    <w:rsid w:val="009E520E"/>
    <w:rsid w:val="009F37D6"/>
    <w:rsid w:val="009F6B10"/>
    <w:rsid w:val="00A00936"/>
    <w:rsid w:val="00A0159C"/>
    <w:rsid w:val="00A14C7F"/>
    <w:rsid w:val="00A15C0D"/>
    <w:rsid w:val="00A164B5"/>
    <w:rsid w:val="00A23AAE"/>
    <w:rsid w:val="00A2416D"/>
    <w:rsid w:val="00A24C7B"/>
    <w:rsid w:val="00A2575C"/>
    <w:rsid w:val="00A32D75"/>
    <w:rsid w:val="00A33598"/>
    <w:rsid w:val="00A341D0"/>
    <w:rsid w:val="00A364DA"/>
    <w:rsid w:val="00A41366"/>
    <w:rsid w:val="00A45094"/>
    <w:rsid w:val="00A51C6E"/>
    <w:rsid w:val="00A53A3F"/>
    <w:rsid w:val="00A735BF"/>
    <w:rsid w:val="00A827D9"/>
    <w:rsid w:val="00A94F36"/>
    <w:rsid w:val="00A953DE"/>
    <w:rsid w:val="00AA1306"/>
    <w:rsid w:val="00AA2761"/>
    <w:rsid w:val="00AB248A"/>
    <w:rsid w:val="00AC3022"/>
    <w:rsid w:val="00AD0992"/>
    <w:rsid w:val="00AD20C2"/>
    <w:rsid w:val="00AD38CE"/>
    <w:rsid w:val="00AE4CDD"/>
    <w:rsid w:val="00AF0DC4"/>
    <w:rsid w:val="00AF15C8"/>
    <w:rsid w:val="00AF5D6E"/>
    <w:rsid w:val="00B0404B"/>
    <w:rsid w:val="00B203B0"/>
    <w:rsid w:val="00B22688"/>
    <w:rsid w:val="00B27051"/>
    <w:rsid w:val="00B27EC0"/>
    <w:rsid w:val="00B408B9"/>
    <w:rsid w:val="00B42F4C"/>
    <w:rsid w:val="00B440B1"/>
    <w:rsid w:val="00B47746"/>
    <w:rsid w:val="00B55574"/>
    <w:rsid w:val="00B557E7"/>
    <w:rsid w:val="00B55C73"/>
    <w:rsid w:val="00B6160A"/>
    <w:rsid w:val="00B6315A"/>
    <w:rsid w:val="00B74AAC"/>
    <w:rsid w:val="00B868C8"/>
    <w:rsid w:val="00B92168"/>
    <w:rsid w:val="00BA2859"/>
    <w:rsid w:val="00BA3F9E"/>
    <w:rsid w:val="00BA4ED4"/>
    <w:rsid w:val="00BB2F32"/>
    <w:rsid w:val="00BB6BCB"/>
    <w:rsid w:val="00BC0B0C"/>
    <w:rsid w:val="00BC4F91"/>
    <w:rsid w:val="00BD25CF"/>
    <w:rsid w:val="00BD5D45"/>
    <w:rsid w:val="00BE06DC"/>
    <w:rsid w:val="00BE34A7"/>
    <w:rsid w:val="00BF677A"/>
    <w:rsid w:val="00BF677F"/>
    <w:rsid w:val="00C00E99"/>
    <w:rsid w:val="00C04492"/>
    <w:rsid w:val="00C072D3"/>
    <w:rsid w:val="00C13C09"/>
    <w:rsid w:val="00C14E2C"/>
    <w:rsid w:val="00C171B1"/>
    <w:rsid w:val="00C313A5"/>
    <w:rsid w:val="00C3350F"/>
    <w:rsid w:val="00C35ABE"/>
    <w:rsid w:val="00C4194D"/>
    <w:rsid w:val="00C44333"/>
    <w:rsid w:val="00C52D22"/>
    <w:rsid w:val="00C52EE6"/>
    <w:rsid w:val="00C65C2C"/>
    <w:rsid w:val="00C66940"/>
    <w:rsid w:val="00C75A79"/>
    <w:rsid w:val="00C775ED"/>
    <w:rsid w:val="00C803D0"/>
    <w:rsid w:val="00C81DB8"/>
    <w:rsid w:val="00C84200"/>
    <w:rsid w:val="00C8571C"/>
    <w:rsid w:val="00C86C16"/>
    <w:rsid w:val="00C97F15"/>
    <w:rsid w:val="00CA2DEC"/>
    <w:rsid w:val="00CA56A6"/>
    <w:rsid w:val="00CB58F4"/>
    <w:rsid w:val="00CB6632"/>
    <w:rsid w:val="00CB6A7C"/>
    <w:rsid w:val="00CC2F9A"/>
    <w:rsid w:val="00CE4664"/>
    <w:rsid w:val="00CF1A55"/>
    <w:rsid w:val="00CF50A3"/>
    <w:rsid w:val="00CF6FB3"/>
    <w:rsid w:val="00D0070B"/>
    <w:rsid w:val="00D037DC"/>
    <w:rsid w:val="00D12999"/>
    <w:rsid w:val="00D14694"/>
    <w:rsid w:val="00D2159D"/>
    <w:rsid w:val="00D265F3"/>
    <w:rsid w:val="00D353EF"/>
    <w:rsid w:val="00D45233"/>
    <w:rsid w:val="00D4716D"/>
    <w:rsid w:val="00D5492D"/>
    <w:rsid w:val="00D56E8C"/>
    <w:rsid w:val="00D717F6"/>
    <w:rsid w:val="00D76CD2"/>
    <w:rsid w:val="00D905E9"/>
    <w:rsid w:val="00D913F3"/>
    <w:rsid w:val="00DA7AB2"/>
    <w:rsid w:val="00DA7E54"/>
    <w:rsid w:val="00DC6400"/>
    <w:rsid w:val="00DE35ED"/>
    <w:rsid w:val="00DE5A29"/>
    <w:rsid w:val="00DE5D0A"/>
    <w:rsid w:val="00DF2459"/>
    <w:rsid w:val="00DF5CE0"/>
    <w:rsid w:val="00DF703B"/>
    <w:rsid w:val="00E0501D"/>
    <w:rsid w:val="00E05931"/>
    <w:rsid w:val="00E12617"/>
    <w:rsid w:val="00E135A0"/>
    <w:rsid w:val="00E2470E"/>
    <w:rsid w:val="00E45E76"/>
    <w:rsid w:val="00E51EB6"/>
    <w:rsid w:val="00E53E78"/>
    <w:rsid w:val="00E63219"/>
    <w:rsid w:val="00E679C3"/>
    <w:rsid w:val="00E813C0"/>
    <w:rsid w:val="00E84281"/>
    <w:rsid w:val="00E84648"/>
    <w:rsid w:val="00EA00B2"/>
    <w:rsid w:val="00EA407F"/>
    <w:rsid w:val="00EA77A3"/>
    <w:rsid w:val="00EB24EC"/>
    <w:rsid w:val="00EC5548"/>
    <w:rsid w:val="00ED20C7"/>
    <w:rsid w:val="00ED43AD"/>
    <w:rsid w:val="00ED7972"/>
    <w:rsid w:val="00EE06AB"/>
    <w:rsid w:val="00EE6033"/>
    <w:rsid w:val="00EE6DFE"/>
    <w:rsid w:val="00EF50EE"/>
    <w:rsid w:val="00F04444"/>
    <w:rsid w:val="00F05804"/>
    <w:rsid w:val="00F13B33"/>
    <w:rsid w:val="00F16837"/>
    <w:rsid w:val="00F25898"/>
    <w:rsid w:val="00F27DCD"/>
    <w:rsid w:val="00F377D5"/>
    <w:rsid w:val="00F40560"/>
    <w:rsid w:val="00F50187"/>
    <w:rsid w:val="00F51238"/>
    <w:rsid w:val="00F60439"/>
    <w:rsid w:val="00F617B7"/>
    <w:rsid w:val="00F645D8"/>
    <w:rsid w:val="00F65D50"/>
    <w:rsid w:val="00F666FC"/>
    <w:rsid w:val="00F73FCC"/>
    <w:rsid w:val="00F83A28"/>
    <w:rsid w:val="00F91746"/>
    <w:rsid w:val="00F95892"/>
    <w:rsid w:val="00F979DE"/>
    <w:rsid w:val="00FA3CDE"/>
    <w:rsid w:val="00FB5077"/>
    <w:rsid w:val="00FB636A"/>
    <w:rsid w:val="00FC1F10"/>
    <w:rsid w:val="00FC21DA"/>
    <w:rsid w:val="00FC5237"/>
    <w:rsid w:val="00FD18DC"/>
    <w:rsid w:val="00FD30ED"/>
    <w:rsid w:val="00FD4CEC"/>
    <w:rsid w:val="00FD56DA"/>
    <w:rsid w:val="00FE4219"/>
    <w:rsid w:val="00FE63DE"/>
    <w:rsid w:val="00FF49B3"/>
    <w:rsid w:val="00FF6187"/>
    <w:rsid w:val="00FF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5"/>
    <o:shapelayout v:ext="edit">
      <o:idmap v:ext="edit" data="1"/>
    </o:shapelayout>
  </w:shapeDefaults>
  <w:decimalSymbol w:val="."/>
  <w:listSeparator w:val=","/>
  <w14:docId w14:val="2A5F042E"/>
  <w15:docId w15:val="{AC6DDDFA-4FA8-4E73-86CB-828480B8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75ED"/>
    <w:rPr>
      <w:sz w:val="24"/>
      <w:szCs w:val="24"/>
    </w:rPr>
  </w:style>
  <w:style w:type="paragraph" w:styleId="Heading1">
    <w:name w:val="heading 1"/>
    <w:basedOn w:val="Normal"/>
    <w:next w:val="Normal"/>
    <w:qFormat/>
    <w:rsid w:val="00C775ED"/>
    <w:pPr>
      <w:keepNext/>
      <w:ind w:left="1440"/>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75ED"/>
    <w:pPr>
      <w:tabs>
        <w:tab w:val="center" w:pos="4320"/>
        <w:tab w:val="right" w:pos="8640"/>
      </w:tabs>
    </w:pPr>
  </w:style>
  <w:style w:type="paragraph" w:styleId="Footer">
    <w:name w:val="footer"/>
    <w:basedOn w:val="Normal"/>
    <w:link w:val="FooterChar"/>
    <w:uiPriority w:val="99"/>
    <w:rsid w:val="00C775ED"/>
    <w:pPr>
      <w:tabs>
        <w:tab w:val="center" w:pos="4320"/>
        <w:tab w:val="right" w:pos="8640"/>
      </w:tabs>
    </w:pPr>
  </w:style>
  <w:style w:type="character" w:styleId="Hyperlink">
    <w:name w:val="Hyperlink"/>
    <w:basedOn w:val="DefaultParagraphFont"/>
    <w:rsid w:val="00C775ED"/>
    <w:rPr>
      <w:color w:val="0000FF"/>
      <w:u w:val="single"/>
    </w:rPr>
  </w:style>
  <w:style w:type="paragraph" w:styleId="BodyText">
    <w:name w:val="Body Text"/>
    <w:basedOn w:val="Normal"/>
    <w:rsid w:val="00C775ED"/>
    <w:rPr>
      <w:rFonts w:ascii="Charter BT" w:hAnsi="Charter BT"/>
      <w:sz w:val="22"/>
    </w:rPr>
  </w:style>
  <w:style w:type="paragraph" w:styleId="BodyText2">
    <w:name w:val="Body Text 2"/>
    <w:basedOn w:val="Normal"/>
    <w:rsid w:val="00C775ED"/>
    <w:rPr>
      <w:rFonts w:ascii="Arial" w:hAnsi="Arial" w:cs="Arial"/>
      <w:b/>
      <w:bCs/>
      <w:sz w:val="28"/>
      <w:lang w:val="en-CA"/>
    </w:rPr>
  </w:style>
  <w:style w:type="paragraph" w:styleId="BodyText3">
    <w:name w:val="Body Text 3"/>
    <w:basedOn w:val="Normal"/>
    <w:rsid w:val="00C775ED"/>
    <w:rPr>
      <w:rFonts w:ascii="Charter BT" w:hAnsi="Charter BT"/>
      <w:sz w:val="16"/>
      <w:szCs w:val="18"/>
    </w:rPr>
  </w:style>
  <w:style w:type="character" w:customStyle="1" w:styleId="FooterChar">
    <w:name w:val="Footer Char"/>
    <w:basedOn w:val="DefaultParagraphFont"/>
    <w:link w:val="Footer"/>
    <w:uiPriority w:val="99"/>
    <w:rsid w:val="00164CCD"/>
    <w:rPr>
      <w:sz w:val="24"/>
      <w:szCs w:val="24"/>
    </w:rPr>
  </w:style>
  <w:style w:type="character" w:styleId="EndnoteReference">
    <w:name w:val="endnote reference"/>
    <w:basedOn w:val="DefaultParagraphFont"/>
    <w:uiPriority w:val="99"/>
    <w:unhideWhenUsed/>
    <w:rsid w:val="00B55574"/>
    <w:rPr>
      <w:vertAlign w:val="superscript"/>
    </w:rPr>
  </w:style>
  <w:style w:type="character" w:customStyle="1" w:styleId="fontstyle01">
    <w:name w:val="fontstyle01"/>
    <w:basedOn w:val="DefaultParagraphFont"/>
    <w:rsid w:val="00B55574"/>
    <w:rPr>
      <w:rFonts w:ascii="Melior" w:hAnsi="Melior" w:hint="default"/>
      <w:b w:val="0"/>
      <w:bCs w:val="0"/>
      <w:i w:val="0"/>
      <w:iCs w:val="0"/>
      <w:color w:val="000000"/>
      <w:sz w:val="18"/>
      <w:szCs w:val="18"/>
    </w:rPr>
  </w:style>
  <w:style w:type="character" w:customStyle="1" w:styleId="UnresolvedMention1">
    <w:name w:val="Unresolved Mention1"/>
    <w:basedOn w:val="DefaultParagraphFont"/>
    <w:uiPriority w:val="99"/>
    <w:semiHidden/>
    <w:unhideWhenUsed/>
    <w:rsid w:val="00B55574"/>
    <w:rPr>
      <w:color w:val="808080"/>
      <w:shd w:val="clear" w:color="auto" w:fill="E6E6E6"/>
    </w:rPr>
  </w:style>
  <w:style w:type="paragraph" w:styleId="EndnoteText">
    <w:name w:val="endnote text"/>
    <w:basedOn w:val="Normal"/>
    <w:link w:val="EndnoteTextChar"/>
    <w:semiHidden/>
    <w:unhideWhenUsed/>
    <w:rsid w:val="000E0E5B"/>
    <w:rPr>
      <w:sz w:val="20"/>
      <w:szCs w:val="20"/>
    </w:rPr>
  </w:style>
  <w:style w:type="character" w:customStyle="1" w:styleId="EndnoteTextChar">
    <w:name w:val="Endnote Text Char"/>
    <w:basedOn w:val="DefaultParagraphFont"/>
    <w:link w:val="EndnoteText"/>
    <w:semiHidden/>
    <w:rsid w:val="000E0E5B"/>
  </w:style>
  <w:style w:type="paragraph" w:styleId="FootnoteText">
    <w:name w:val="footnote text"/>
    <w:basedOn w:val="Normal"/>
    <w:link w:val="FootnoteTextChar"/>
    <w:uiPriority w:val="99"/>
    <w:semiHidden/>
    <w:unhideWhenUsed/>
    <w:rsid w:val="00C171B1"/>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171B1"/>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C171B1"/>
    <w:rPr>
      <w:vertAlign w:val="superscript"/>
    </w:rPr>
  </w:style>
  <w:style w:type="table" w:styleId="TableGrid">
    <w:name w:val="Table Grid"/>
    <w:basedOn w:val="TableNormal"/>
    <w:uiPriority w:val="39"/>
    <w:rsid w:val="00C171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71B1"/>
    <w:rPr>
      <w:sz w:val="16"/>
      <w:szCs w:val="16"/>
    </w:rPr>
  </w:style>
  <w:style w:type="paragraph" w:styleId="CommentText">
    <w:name w:val="annotation text"/>
    <w:basedOn w:val="Normal"/>
    <w:link w:val="CommentTextChar"/>
    <w:uiPriority w:val="99"/>
    <w:semiHidden/>
    <w:unhideWhenUsed/>
    <w:rsid w:val="00C171B1"/>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171B1"/>
    <w:rPr>
      <w:rFonts w:asciiTheme="minorHAnsi" w:eastAsiaTheme="minorHAnsi" w:hAnsiTheme="minorHAnsi" w:cstheme="minorBidi"/>
    </w:rPr>
  </w:style>
  <w:style w:type="paragraph" w:styleId="BalloonText">
    <w:name w:val="Balloon Text"/>
    <w:basedOn w:val="Normal"/>
    <w:link w:val="BalloonTextChar"/>
    <w:rsid w:val="00C171B1"/>
    <w:rPr>
      <w:rFonts w:ascii="Segoe UI" w:hAnsi="Segoe UI" w:cs="Segoe UI"/>
      <w:sz w:val="18"/>
      <w:szCs w:val="18"/>
    </w:rPr>
  </w:style>
  <w:style w:type="character" w:customStyle="1" w:styleId="BalloonTextChar">
    <w:name w:val="Balloon Text Char"/>
    <w:basedOn w:val="DefaultParagraphFont"/>
    <w:link w:val="BalloonText"/>
    <w:rsid w:val="00C171B1"/>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F04444"/>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F04444"/>
    <w:rPr>
      <w:rFonts w:asciiTheme="minorHAnsi" w:eastAsiaTheme="minorHAnsi" w:hAnsiTheme="minorHAnsi" w:cstheme="minorBidi"/>
      <w:b/>
      <w:bCs/>
    </w:rPr>
  </w:style>
  <w:style w:type="paragraph" w:styleId="Revision">
    <w:name w:val="Revision"/>
    <w:hidden/>
    <w:uiPriority w:val="99"/>
    <w:semiHidden/>
    <w:rsid w:val="00DF703B"/>
    <w:rPr>
      <w:sz w:val="24"/>
      <w:szCs w:val="24"/>
    </w:rPr>
  </w:style>
  <w:style w:type="character" w:customStyle="1" w:styleId="HeaderChar">
    <w:name w:val="Header Char"/>
    <w:basedOn w:val="DefaultParagraphFont"/>
    <w:link w:val="Header"/>
    <w:uiPriority w:val="99"/>
    <w:rsid w:val="001E3E26"/>
    <w:rPr>
      <w:sz w:val="24"/>
      <w:szCs w:val="24"/>
    </w:rPr>
  </w:style>
  <w:style w:type="character" w:styleId="FollowedHyperlink">
    <w:name w:val="FollowedHyperlink"/>
    <w:basedOn w:val="DefaultParagraphFont"/>
    <w:semiHidden/>
    <w:unhideWhenUsed/>
    <w:rsid w:val="00AE4C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41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ud.gov/sites/dfiles/OCHCO/documents/17-16ml.pdf" TargetMode="External"/><Relationship Id="rId2" Type="http://schemas.openxmlformats.org/officeDocument/2006/relationships/hyperlink" Target="https://www.huduser.gov/portal/datasets/il/il18/IncomeLimitsMethodology-FY18.pdf" TargetMode="External"/><Relationship Id="rId1" Type="http://schemas.openxmlformats.org/officeDocument/2006/relationships/hyperlink" Target="https://www.dol.gov/whd/minwage/mw-consolidated.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https://ruralhome-my.sharepoint.com/personal/michael_ruralhome_org/Documents/502%20D%20Obligations%201980%20to%20201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Average Section 502 Loan Amount, 80 Pct of Area Median Income and Average Borrower Income By FY </a:t>
            </a:r>
            <a:r>
              <a:rPr lang="en-US" sz="1050"/>
              <a:t>(nominal dollars)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scatterChart>
        <c:scatterStyle val="lineMarker"/>
        <c:varyColors val="0"/>
        <c:ser>
          <c:idx val="0"/>
          <c:order val="0"/>
          <c:tx>
            <c:strRef>
              <c:f>Sheet1!$B$1</c:f>
              <c:strCache>
                <c:ptCount val="1"/>
                <c:pt idx="0">
                  <c:v>Avg Sec 502 Direct Borrower Income</c:v>
                </c:pt>
              </c:strCache>
            </c:strRef>
          </c:tx>
          <c:spPr>
            <a:ln w="25400" cap="rnd">
              <a:noFill/>
              <a:round/>
            </a:ln>
            <a:effectLst/>
          </c:spPr>
          <c:marker>
            <c:symbol val="circle"/>
            <c:size val="5"/>
            <c:spPr>
              <a:solidFill>
                <a:schemeClr val="accent1"/>
              </a:solidFill>
              <a:ln w="9525">
                <a:solidFill>
                  <a:schemeClr val="accent1"/>
                </a:solidFill>
              </a:ln>
              <a:effectLst/>
            </c:spPr>
          </c:marker>
          <c:trendline>
            <c:name>Linear Trend (USDA Avg Income)</c:name>
            <c:spPr>
              <a:ln w="19050" cap="rnd">
                <a:solidFill>
                  <a:schemeClr val="accent1"/>
                </a:solidFill>
                <a:prstDash val="sysDot"/>
              </a:ln>
              <a:effectLst/>
            </c:spPr>
            <c:trendlineType val="linear"/>
            <c:dispRSqr val="0"/>
            <c:dispEq val="0"/>
          </c:trendline>
          <c:xVal>
            <c:numRef>
              <c:f>Sheet1!$A$2:$A$13</c:f>
              <c:numCache>
                <c:formatCode>General</c:formatCode>
                <c:ptCount val="12"/>
                <c:pt idx="0">
                  <c:v>2000</c:v>
                </c:pt>
                <c:pt idx="1">
                  <c:v>2002</c:v>
                </c:pt>
                <c:pt idx="2">
                  <c:v>2004</c:v>
                </c:pt>
                <c:pt idx="3">
                  <c:v>2006</c:v>
                </c:pt>
                <c:pt idx="4">
                  <c:v>2008</c:v>
                </c:pt>
                <c:pt idx="5">
                  <c:v>2010</c:v>
                </c:pt>
                <c:pt idx="6">
                  <c:v>2012</c:v>
                </c:pt>
                <c:pt idx="7">
                  <c:v>2014</c:v>
                </c:pt>
                <c:pt idx="8">
                  <c:v>2015</c:v>
                </c:pt>
                <c:pt idx="9">
                  <c:v>2016</c:v>
                </c:pt>
                <c:pt idx="10">
                  <c:v>2017</c:v>
                </c:pt>
                <c:pt idx="11">
                  <c:v>2018</c:v>
                </c:pt>
              </c:numCache>
            </c:numRef>
          </c:xVal>
          <c:yVal>
            <c:numRef>
              <c:f>Sheet1!$B$2:$B$13</c:f>
              <c:numCache>
                <c:formatCode>"$"#,##0</c:formatCode>
                <c:ptCount val="12"/>
                <c:pt idx="0">
                  <c:v>21206</c:v>
                </c:pt>
                <c:pt idx="1">
                  <c:v>21193</c:v>
                </c:pt>
                <c:pt idx="4">
                  <c:v>25447</c:v>
                </c:pt>
                <c:pt idx="5">
                  <c:v>27345</c:v>
                </c:pt>
                <c:pt idx="6">
                  <c:v>25447.038930397168</c:v>
                </c:pt>
                <c:pt idx="7">
                  <c:v>29512</c:v>
                </c:pt>
                <c:pt idx="8">
                  <c:v>30082</c:v>
                </c:pt>
                <c:pt idx="9">
                  <c:v>30911</c:v>
                </c:pt>
                <c:pt idx="10">
                  <c:v>32542</c:v>
                </c:pt>
              </c:numCache>
            </c:numRef>
          </c:yVal>
          <c:smooth val="0"/>
          <c:extLst>
            <c:ext xmlns:c16="http://schemas.microsoft.com/office/drawing/2014/chart" uri="{C3380CC4-5D6E-409C-BE32-E72D297353CC}">
              <c16:uniqueId val="{00000001-6D2B-46DB-B67E-0437DE81CEBB}"/>
            </c:ext>
          </c:extLst>
        </c:ser>
        <c:ser>
          <c:idx val="2"/>
          <c:order val="1"/>
          <c:tx>
            <c:strRef>
              <c:f>Sheet1!$D$1</c:f>
              <c:strCache>
                <c:ptCount val="1"/>
                <c:pt idx="0">
                  <c:v>80 pct US NonMetro Median Income</c:v>
                </c:pt>
              </c:strCache>
            </c:strRef>
          </c:tx>
          <c:spPr>
            <a:ln w="25400" cap="rnd">
              <a:noFill/>
              <a:round/>
            </a:ln>
            <a:effectLst/>
          </c:spPr>
          <c:marker>
            <c:symbol val="circle"/>
            <c:size val="5"/>
            <c:spPr>
              <a:solidFill>
                <a:schemeClr val="accent3"/>
              </a:solidFill>
              <a:ln w="9525">
                <a:solidFill>
                  <a:schemeClr val="accent3"/>
                </a:solidFill>
              </a:ln>
              <a:effectLst/>
            </c:spPr>
          </c:marker>
          <c:trendline>
            <c:name>Linear Trend (80 Pct. AMI)</c:name>
            <c:spPr>
              <a:ln w="19050" cap="rnd">
                <a:solidFill>
                  <a:schemeClr val="accent3"/>
                </a:solidFill>
                <a:prstDash val="sysDot"/>
              </a:ln>
              <a:effectLst/>
            </c:spPr>
            <c:trendlineType val="linear"/>
            <c:dispRSqr val="0"/>
            <c:dispEq val="0"/>
          </c:trendline>
          <c:xVal>
            <c:numRef>
              <c:f>Sheet1!$A$2:$A$13</c:f>
              <c:numCache>
                <c:formatCode>General</c:formatCode>
                <c:ptCount val="12"/>
                <c:pt idx="0">
                  <c:v>2000</c:v>
                </c:pt>
                <c:pt idx="1">
                  <c:v>2002</c:v>
                </c:pt>
                <c:pt idx="2">
                  <c:v>2004</c:v>
                </c:pt>
                <c:pt idx="3">
                  <c:v>2006</c:v>
                </c:pt>
                <c:pt idx="4">
                  <c:v>2008</c:v>
                </c:pt>
                <c:pt idx="5">
                  <c:v>2010</c:v>
                </c:pt>
                <c:pt idx="6">
                  <c:v>2012</c:v>
                </c:pt>
                <c:pt idx="7">
                  <c:v>2014</c:v>
                </c:pt>
                <c:pt idx="8">
                  <c:v>2015</c:v>
                </c:pt>
                <c:pt idx="9">
                  <c:v>2016</c:v>
                </c:pt>
                <c:pt idx="10">
                  <c:v>2017</c:v>
                </c:pt>
                <c:pt idx="11">
                  <c:v>2018</c:v>
                </c:pt>
              </c:numCache>
            </c:numRef>
          </c:xVal>
          <c:yVal>
            <c:numRef>
              <c:f>Sheet1!$D$2:$D$13</c:f>
              <c:numCache>
                <c:formatCode>"$"#,##0</c:formatCode>
                <c:ptCount val="12"/>
                <c:pt idx="0">
                  <c:v>29920</c:v>
                </c:pt>
                <c:pt idx="1">
                  <c:v>31760</c:v>
                </c:pt>
                <c:pt idx="2">
                  <c:v>36800</c:v>
                </c:pt>
                <c:pt idx="3">
                  <c:v>38160</c:v>
                </c:pt>
                <c:pt idx="4">
                  <c:v>39440</c:v>
                </c:pt>
                <c:pt idx="5">
                  <c:v>41280</c:v>
                </c:pt>
                <c:pt idx="6">
                  <c:v>41920</c:v>
                </c:pt>
                <c:pt idx="7">
                  <c:v>42000</c:v>
                </c:pt>
                <c:pt idx="8">
                  <c:v>43280</c:v>
                </c:pt>
                <c:pt idx="9">
                  <c:v>42640</c:v>
                </c:pt>
                <c:pt idx="10">
                  <c:v>44160</c:v>
                </c:pt>
                <c:pt idx="11">
                  <c:v>46720</c:v>
                </c:pt>
              </c:numCache>
            </c:numRef>
          </c:yVal>
          <c:smooth val="0"/>
          <c:extLst>
            <c:ext xmlns:c16="http://schemas.microsoft.com/office/drawing/2014/chart" uri="{C3380CC4-5D6E-409C-BE32-E72D297353CC}">
              <c16:uniqueId val="{00000003-6D2B-46DB-B67E-0437DE81CEBB}"/>
            </c:ext>
          </c:extLst>
        </c:ser>
        <c:ser>
          <c:idx val="3"/>
          <c:order val="2"/>
          <c:tx>
            <c:strRef>
              <c:f>Sheet1!$E$1</c:f>
              <c:strCache>
                <c:ptCount val="1"/>
                <c:pt idx="0">
                  <c:v>Avg Loan</c:v>
                </c:pt>
              </c:strCache>
            </c:strRef>
          </c:tx>
          <c:spPr>
            <a:ln w="25400" cap="rnd">
              <a:noFill/>
              <a:round/>
            </a:ln>
            <a:effectLst/>
          </c:spPr>
          <c:marker>
            <c:symbol val="circle"/>
            <c:size val="5"/>
            <c:spPr>
              <a:solidFill>
                <a:schemeClr val="accent4"/>
              </a:solidFill>
              <a:ln w="9525">
                <a:solidFill>
                  <a:schemeClr val="accent4"/>
                </a:solidFill>
              </a:ln>
              <a:effectLst/>
            </c:spPr>
          </c:marker>
          <c:trendline>
            <c:name>Linear Trend (Avg Loan)</c:name>
            <c:spPr>
              <a:ln w="19050" cap="rnd">
                <a:solidFill>
                  <a:schemeClr val="accent4"/>
                </a:solidFill>
                <a:prstDash val="sysDot"/>
              </a:ln>
              <a:effectLst/>
            </c:spPr>
            <c:trendlineType val="linear"/>
            <c:dispRSqr val="0"/>
            <c:dispEq val="0"/>
          </c:trendline>
          <c:xVal>
            <c:numRef>
              <c:f>Sheet1!$A$2:$A$13</c:f>
              <c:numCache>
                <c:formatCode>General</c:formatCode>
                <c:ptCount val="12"/>
                <c:pt idx="0">
                  <c:v>2000</c:v>
                </c:pt>
                <c:pt idx="1">
                  <c:v>2002</c:v>
                </c:pt>
                <c:pt idx="2">
                  <c:v>2004</c:v>
                </c:pt>
                <c:pt idx="3">
                  <c:v>2006</c:v>
                </c:pt>
                <c:pt idx="4">
                  <c:v>2008</c:v>
                </c:pt>
                <c:pt idx="5">
                  <c:v>2010</c:v>
                </c:pt>
                <c:pt idx="6">
                  <c:v>2012</c:v>
                </c:pt>
                <c:pt idx="7">
                  <c:v>2014</c:v>
                </c:pt>
                <c:pt idx="8">
                  <c:v>2015</c:v>
                </c:pt>
                <c:pt idx="9">
                  <c:v>2016</c:v>
                </c:pt>
                <c:pt idx="10">
                  <c:v>2017</c:v>
                </c:pt>
                <c:pt idx="11">
                  <c:v>2018</c:v>
                </c:pt>
              </c:numCache>
            </c:numRef>
          </c:xVal>
          <c:yVal>
            <c:numRef>
              <c:f>Sheet1!$E$2:$E$13</c:f>
              <c:numCache>
                <c:formatCode>"$"#,##0</c:formatCode>
                <c:ptCount val="12"/>
                <c:pt idx="0">
                  <c:v>69177.110956163218</c:v>
                </c:pt>
                <c:pt idx="1">
                  <c:v>77116.720902019559</c:v>
                </c:pt>
                <c:pt idx="2">
                  <c:v>92307.590794236152</c:v>
                </c:pt>
                <c:pt idx="3">
                  <c:v>102015.4426464391</c:v>
                </c:pt>
                <c:pt idx="4">
                  <c:v>115835.22754551927</c:v>
                </c:pt>
                <c:pt idx="5">
                  <c:v>123609.18683725219</c:v>
                </c:pt>
                <c:pt idx="6">
                  <c:v>113664.77696387976</c:v>
                </c:pt>
                <c:pt idx="7">
                  <c:v>123186.08353658537</c:v>
                </c:pt>
                <c:pt idx="8">
                  <c:v>127380.25608720272</c:v>
                </c:pt>
                <c:pt idx="9">
                  <c:v>135175.55818874313</c:v>
                </c:pt>
                <c:pt idx="10">
                  <c:v>139527.16129482348</c:v>
                </c:pt>
                <c:pt idx="11">
                  <c:v>152289.77580930907</c:v>
                </c:pt>
              </c:numCache>
            </c:numRef>
          </c:yVal>
          <c:smooth val="0"/>
          <c:extLst>
            <c:ext xmlns:c16="http://schemas.microsoft.com/office/drawing/2014/chart" uri="{C3380CC4-5D6E-409C-BE32-E72D297353CC}">
              <c16:uniqueId val="{00000005-6D2B-46DB-B67E-0437DE81CEBB}"/>
            </c:ext>
          </c:extLst>
        </c:ser>
        <c:dLbls>
          <c:showLegendKey val="0"/>
          <c:showVal val="0"/>
          <c:showCatName val="0"/>
          <c:showSerName val="0"/>
          <c:showPercent val="0"/>
          <c:showBubbleSize val="0"/>
        </c:dLbls>
        <c:axId val="334714584"/>
        <c:axId val="334713800"/>
      </c:scatterChart>
      <c:valAx>
        <c:axId val="334714584"/>
        <c:scaling>
          <c:orientation val="minMax"/>
          <c:max val="2018"/>
          <c:min val="2000"/>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34713800"/>
        <c:crosses val="autoZero"/>
        <c:crossBetween val="midCat"/>
      </c:valAx>
      <c:valAx>
        <c:axId val="334713800"/>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3471458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42C205CF395E4A899054A45DCC5C73" ma:contentTypeVersion="7" ma:contentTypeDescription="Create a new document." ma:contentTypeScope="" ma:versionID="183bc0949a50fe2ee207350672c0567f">
  <xsd:schema xmlns:xsd="http://www.w3.org/2001/XMLSchema" xmlns:xs="http://www.w3.org/2001/XMLSchema" xmlns:p="http://schemas.microsoft.com/office/2006/metadata/properties" xmlns:ns2="34c2ab56-c798-44fb-b2e3-9714f486a203" xmlns:ns3="ed842b70-6404-4321-916a-5cc662dd895c" targetNamespace="http://schemas.microsoft.com/office/2006/metadata/properties" ma:root="true" ma:fieldsID="b325c0d1b96f25127f02846be8f5f646" ns2:_="" ns3:_="">
    <xsd:import namespace="34c2ab56-c798-44fb-b2e3-9714f486a203"/>
    <xsd:import namespace="ed842b70-6404-4321-916a-5cc662dd89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c2ab56-c798-44fb-b2e3-9714f486a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842b70-6404-4321-916a-5cc662dd89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8D5B59-8957-4D85-A8B5-108FBEE473EC}">
  <ds:schemaRefs>
    <ds:schemaRef ds:uri="http://schemas.openxmlformats.org/officeDocument/2006/bibliography"/>
  </ds:schemaRefs>
</ds:datastoreItem>
</file>

<file path=customXml/itemProps2.xml><?xml version="1.0" encoding="utf-8"?>
<ds:datastoreItem xmlns:ds="http://schemas.openxmlformats.org/officeDocument/2006/customXml" ds:itemID="{AC870206-58E1-4C7F-805C-A51A8DD641AF}"/>
</file>

<file path=customXml/itemProps3.xml><?xml version="1.0" encoding="utf-8"?>
<ds:datastoreItem xmlns:ds="http://schemas.openxmlformats.org/officeDocument/2006/customXml" ds:itemID="{B08A2738-59A4-4879-97F3-4B1B0E82EE71}"/>
</file>

<file path=customXml/itemProps4.xml><?xml version="1.0" encoding="utf-8"?>
<ds:datastoreItem xmlns:ds="http://schemas.openxmlformats.org/officeDocument/2006/customXml" ds:itemID="{4A3D64C7-78A3-4840-817A-0D9015308539}"/>
</file>

<file path=docProps/app.xml><?xml version="1.0" encoding="utf-8"?>
<Properties xmlns="http://schemas.openxmlformats.org/officeDocument/2006/extended-properties" xmlns:vt="http://schemas.openxmlformats.org/officeDocument/2006/docPropsVTypes">
  <Template>Normal</Template>
  <TotalTime>1</TotalTime>
  <Pages>7</Pages>
  <Words>2711</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HAC</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michael@ruralhome.org</dc:creator>
  <cp:keywords/>
  <dc:description/>
  <cp:lastModifiedBy>Michael</cp:lastModifiedBy>
  <cp:revision>2</cp:revision>
  <cp:lastPrinted>2018-10-17T14:32:00Z</cp:lastPrinted>
  <dcterms:created xsi:type="dcterms:W3CDTF">2018-10-18T19:03:00Z</dcterms:created>
  <dcterms:modified xsi:type="dcterms:W3CDTF">2018-10-18T19:03:00Z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0x0101005042C205CF395E4A899054A45DCC5C73</vt:lpwstr>
  </property>
</Properties>
</file>